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 акта</w:t>
      </w:r>
    </w:p>
    <w:p w:rsidR="002F2EC6" w:rsidRPr="0072279F" w:rsidRDefault="002F2EC6" w:rsidP="009B0E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9F">
        <w:rPr>
          <w:rFonts w:ascii="Times New Roman" w:hAnsi="Times New Roman" w:cs="Times New Roman"/>
          <w:b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D445A1" w:rsidTr="00D445A1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3"/>
              <w:gridCol w:w="3076"/>
            </w:tblGrid>
            <w:tr w:rsidR="00D445A1" w:rsidTr="00D445A1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02/07/09-17/00073144</w:t>
                  </w:r>
                </w:p>
              </w:tc>
            </w:tr>
            <w:tr w:rsidR="00D445A1" w:rsidTr="00D445A1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445A1" w:rsidTr="00D445A1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15.09.2017</w:t>
            </w:r>
          </w:p>
        </w:tc>
      </w:tr>
      <w:tr w:rsidR="00D445A1" w:rsidTr="00D445A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12.10.2017</w:t>
            </w:r>
          </w:p>
        </w:tc>
      </w:tr>
    </w:tbl>
    <w:p w:rsidR="00D445A1" w:rsidRPr="00012467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/>
      </w:tblPr>
      <w:tblGrid>
        <w:gridCol w:w="865"/>
        <w:gridCol w:w="3619"/>
        <w:gridCol w:w="6198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«Об утверждении Положения о единой государственной информационной системе в сфере здр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воохранения»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по отдельным вопросам функциониров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ния Единой государственной информационной системы в сфере здравоохран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ния (далее – Единая система).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разработан во исполнение части 2 статьи 91.1 Фед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рального закона от 21 ноября 2011 г. № 323-ФЗ "Об основах охраны здоровья граждан" в редакции Федерального закона от 29 июля 2017 г. № 242-ФЗ "О внесении изменений в отдельные законодательные акты Российской Федер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ции по вопросам применения информационных технологий в сфере охраны здоровья" (далее - Федеральный закон № 242-ФЗ).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разработан во исполнение части 2 статьи 91.1 Фед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рального закона «Об основах охраны здоровья граждан» в целях закрепления правовых основ функционирования Единой  системы, в том числе установл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ния порядка доступа к информации, содержащейся в Единой системе, порядка и сроков представления информации в Единую систему, порядка обмена 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формацией с использованием Единой системы.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Pr="00E316A9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Правительства Российской Федерации, закрепляющ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правовые основы функционирования Единой  системы, в том числе порядок доступа к информации, содержащейся в Единой системе, порядок и сроки представления информации в Единую систему, порядок обмена информацией с использованием Единой системы.</w:t>
            </w:r>
          </w:p>
          <w:p w:rsidR="00D445A1" w:rsidRPr="00016EE4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  <w:vMerge w:val="restar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595" w:type="pct"/>
            <w:gridSpan w:val="2"/>
          </w:tcPr>
          <w:p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Мазаева Ирина Васильевна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Заместитель начальника отдела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(495) 624-24-00 доб 1814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mazaevaiv@rosminzdrav.ru</w:t>
            </w:r>
          </w:p>
        </w:tc>
      </w:tr>
    </w:tbl>
    <w:p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/>
      </w:tblPr>
      <w:tblGrid>
        <w:gridCol w:w="866"/>
        <w:gridCol w:w="4907"/>
        <w:gridCol w:w="49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D445A1" w:rsidRPr="00F74B48" w:rsidRDefault="00DB010D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  <w:p w:rsidR="00D445A1" w:rsidRPr="004D369A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содержит положения, изменяющие ранее предусмо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ренные законодательством Российской Федерации и иными нормативными правовыми актами обязанности, запреты и ограничения для физических и юр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дических лиц в сфере предпринимательской и иной экономической деятельн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сти или способствующие их установлению, и (или) положения, приводящие к увеличению ранее предусмотренных законодательством Российской Федер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ции и иными нормативными правовыми актами расходов физических и юрид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ческих лиц в сфере предпринимательской и иной экономической деятельности - уточняется порядок и сроки исполнения обязанности по предоставлению св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дений в Единую систему, предусмотренной Федеральным законом № 242-ФЗ.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</w:t>
      </w:r>
      <w:r w:rsidRPr="00473026">
        <w:rPr>
          <w:rFonts w:ascii="Times New Roman" w:hAnsi="Times New Roman" w:cs="Times New Roman"/>
          <w:b/>
          <w:sz w:val="28"/>
          <w:szCs w:val="28"/>
        </w:rPr>
        <w:t>е</w:t>
      </w:r>
      <w:r w:rsidRPr="00473026">
        <w:rPr>
          <w:rFonts w:ascii="Times New Roman" w:hAnsi="Times New Roman" w:cs="Times New Roman"/>
          <w:b/>
          <w:sz w:val="28"/>
          <w:szCs w:val="28"/>
        </w:rPr>
        <w:t>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гулирования, условий и факторов ее существования: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по отдельным вопросам функциониров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ния Единой системы, в том числе в части закрепления порядка доступа к 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формации, содержащейся в ней, порядка и сроков представления информации в Единую систему, порядка обмена информацией с использованием Единой си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о регулирования по отдельным вопросам функционир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Единой системы вносит неопределенность в части установления порядка ведения Единой системы, а также прав и обязанностей участников информац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онного взаимодействия, в первую очередь поставщиков и пользователей 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формации Единой системы.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ленных на ее решение, а также затраченных ресурсах и достигнутых результ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тах решения проблемы: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ленных на ее решение, а также затраченных ресурсах и достигнутых результ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тах решения проблемы: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мониторинг правоприменительной практики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разработан с учетом анализа международного опыта решения аналогичных задач. Так, например, Единая система обеспечивает по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держку принятия управленческих решений и управления ресурсами системы здравоохранения; ведение регистров лиц, страдающих отдельными заболев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ниями; организацию информационного взаимодействия между медицинскими организациями; планирование и проведение консультаций и консилиумов с применением телемедицинских технологий и т.д. При этом по вопросам 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пользования телемедицинских технологий изучен и использован опыт Франции - Декрет от 19.10.2010 г. № 2010-1229 «О телемедицине», Национальная стр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тегия электронного здравоохранения, март 2013 г. По вопросу ведения регис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ров лиц, страдающих социально значимыми (опасными) заболеваниями, изучен опыт Англии - закон «Об общественном здравоохранении и контролю за заб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леваниями», 1984 г., а при проектировании положений в части функционир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вания Единой системы учтен опыт правового регулирования Сербии - закон 2005 года «О здравоохранении» и Чехии - закон 2011 года «О медицинских  услугах  и  условиях их  оказания». В целом изученный международный опыт текущего состояния и правового регулирования создания и развития госуда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ственных информационных систем в сфере здравоохранения, свидетельствует об актуальности исследуемой проблематики и целесообразности правового 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гулирования соответсвующих вопросов.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открытые источники информации, библиотечные фонды, аналитические отч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471D4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Закрепление правовых основ функционирования Единой системы с целью обеспечения доступа граждан к услугам в сфере здравоохранения в электронной форме, а также взаимодействия информационных систем в сфере здравоохранения</w:t>
            </w:r>
          </w:p>
        </w:tc>
        <w:tc>
          <w:tcPr>
            <w:tcW w:w="2630" w:type="pct"/>
            <w:gridSpan w:val="2"/>
          </w:tcPr>
          <w:p w:rsidR="00D445A1" w:rsidRPr="001D3F35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января 2018 г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разработан во исполнение и в соответствии с полож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ниями Федерального закона от 21 ноября 2011 г. № 323-ФЗ "Об основах охр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ны здоровья граждан" в редакции Федерального закона № 242-ФЗ.  Принятие проекта постановления является одним из ключевых условий реализации Пр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оритетного проекта «Совершенствование процессов организации медицинской помощи на основе внедрения информационных технологий» («Электронное здравоохранение»), паспорт которого утвержден на заседании президиума С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вета при Президенте Российской Федерации по стратегическому развитию и приоритетным проектам от 25 октября 2016 г.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закрепляет правовые основы функционирования Единой  системы, в том числе порядок доступа к информации, содержащейся в ней, п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рядок и сроки представления информации в Единую систему, порядок обмена информацией с использованием Единой системы.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иных способов решения проблемы (с указанием того, каким образом </w:t>
            </w:r>
            <w:r w:rsidRPr="00860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нормативного правового акта обусловлено необходимостью устр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нения пробельности регулирования и выполнения требований Федерального закона от 21 ноября 2011 г. № 323-ФЗ "Об основах охраны здоровья граждан" в редакции Федерального закона № 242-ФЗ.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ванием, оценка количества таких субъектов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</w:t>
            </w: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445A1" w:rsidTr="00D445A1">
        <w:trPr>
          <w:trHeight w:val="52"/>
        </w:trPr>
        <w:tc>
          <w:tcPr>
            <w:tcW w:w="5000" w:type="pct"/>
            <w:gridSpan w:val="4"/>
          </w:tcPr>
          <w:p w:rsidR="00D445A1" w:rsidRPr="001D3F35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Органы, организации государственной, муниципальной и частной систем здравоохранения, являющиеся поставщиками информации в Единую систему</w:t>
            </w:r>
          </w:p>
        </w:tc>
        <w:tc>
          <w:tcPr>
            <w:tcW w:w="263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 – 11102 Из них:  Медицинские организации государственной формы собственности – 7371; Медицинские организации негосударственной формы собственности – 3342, в том числе медицинские организации частной формы собственности – 3167; Немедицинские организации всех форм собственности, имеющие медицинские подразделения – 383; Прочие организации, имеющие медицинские кадры – 6.</w:t>
            </w:r>
          </w:p>
        </w:tc>
      </w:tr>
      <w:tr w:rsidR="00D445A1" w:rsidTr="00D445A1">
        <w:trPr>
          <w:trHeight w:val="31"/>
        </w:trPr>
        <w:tc>
          <w:tcPr>
            <w:tcW w:w="5000" w:type="pct"/>
            <w:gridSpan w:val="4"/>
          </w:tcPr>
          <w:p w:rsidR="00D445A1" w:rsidRPr="0083358C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445A1" w:rsidTr="00D445A1">
        <w:trPr>
          <w:trHeight w:val="31"/>
        </w:trPr>
        <w:tc>
          <w:tcPr>
            <w:tcW w:w="237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по данным формы федерльного статистического н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блюдения № 1-здрав (Росстат), статистические данные Минздрава России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Pr="00E919DF" w:rsidRDefault="009B0E7B" w:rsidP="009B0E7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B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7.1. Анализ влияния социально-экономических последствий реализации проекта акта на деятельность субъектов малого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 среднего предприним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тельства</w:t>
      </w:r>
    </w:p>
    <w:tbl>
      <w:tblPr>
        <w:tblpPr w:leftFromText="180" w:rightFromText="180" w:vertAnchor="text" w:horzAnchor="margin" w:tblpY="2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4"/>
        <w:gridCol w:w="864"/>
        <w:gridCol w:w="1015"/>
        <w:gridCol w:w="1384"/>
        <w:gridCol w:w="58"/>
        <w:gridCol w:w="437"/>
        <w:gridCol w:w="2620"/>
      </w:tblGrid>
      <w:tr w:rsidR="009B0E7B" w:rsidRPr="00385CB1" w:rsidTr="00845A4D">
        <w:trPr>
          <w:trHeight w:val="1407"/>
        </w:trPr>
        <w:tc>
          <w:tcPr>
            <w:tcW w:w="5057" w:type="dxa"/>
            <w:gridSpan w:val="2"/>
            <w:shd w:val="clear" w:color="auto" w:fill="auto"/>
          </w:tcPr>
          <w:p w:rsidR="009B0E7B" w:rsidRPr="00385CB1" w:rsidRDefault="00D0506A" w:rsidP="002A57D1">
            <w:pPr>
              <w:keepNext/>
              <w:tabs>
                <w:tab w:val="left" w:pos="2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  <w:p w:rsidR="009B0E7B" w:rsidRPr="00551959" w:rsidRDefault="009B0E7B" w:rsidP="00D05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структуры регулируемых суб</w:t>
            </w: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(интервальная) оценка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0E7B" w:rsidRPr="00385CB1" w:rsidTr="009157D2">
        <w:trPr>
          <w:trHeight w:val="49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Микропредприятия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60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Малые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5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Средние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48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Крупные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845A4D">
        <w:trPr>
          <w:trHeight w:val="54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9B0E7B" w:rsidRPr="0019212D" w:rsidRDefault="00427FE0" w:rsidP="00EC5E21">
            <w:pPr>
              <w:pStyle w:val="ad"/>
              <w:spacing w:before="120"/>
              <w:ind w:left="0" w:firstLine="0"/>
              <w:jc w:val="left"/>
            </w:pPr>
            <w:r>
              <w:t xml:space="preserve">7.1.2. Источники </w:t>
            </w:r>
            <w:r w:rsidR="009B0E7B" w:rsidRPr="00A1076A">
              <w:t>данных:</w:t>
            </w:r>
            <w:r w:rsidR="009B0E7B">
              <w:t xml:space="preserve"> </w:t>
            </w:r>
            <w:r w:rsidR="00D652BD" w:rsidRPr="00D652BD">
              <w:rPr>
                <w:bCs w:val="0"/>
              </w:rPr>
              <w:t>-</w:t>
            </w:r>
          </w:p>
          <w:p w:rsidR="009B0E7B" w:rsidRPr="00385CB1" w:rsidRDefault="009B0E7B" w:rsidP="00365D61">
            <w:pPr>
              <w:keepNext/>
              <w:tabs>
                <w:tab w:val="left" w:pos="267"/>
              </w:tabs>
              <w:spacing w:after="0" w:line="240" w:lineRule="auto"/>
              <w:ind w:left="3544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2010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D0506A" w:rsidP="002A57D1">
            <w:pPr>
              <w:spacing w:before="120" w:after="120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ab/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Оценка влияния проекта акта на достижение целевых ориентиров Стратегии развития малого и среднего предпринимательства в Российской Федерации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2"/>
            </w:r>
          </w:p>
          <w:p w:rsidR="009B0E7B" w:rsidRPr="00385CB1" w:rsidRDefault="00D652BD" w:rsidP="009B0E7B">
            <w:pPr>
              <w:keepNext/>
              <w:spacing w:before="120"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2B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529"/>
        </w:trPr>
        <w:tc>
          <w:tcPr>
            <w:tcW w:w="5057" w:type="dxa"/>
            <w:gridSpan w:val="2"/>
            <w:vMerge w:val="restart"/>
            <w:shd w:val="clear" w:color="auto" w:fill="auto"/>
          </w:tcPr>
          <w:p w:rsidR="009B0E7B" w:rsidRPr="002A57D1" w:rsidRDefault="002A57D1" w:rsidP="009B0E7B">
            <w:pPr>
              <w:keepNext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7.1.4.</w:t>
            </w:r>
          </w:p>
          <w:p w:rsidR="009B0E7B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Описание социально-экономических п</w:t>
            </w: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</w:t>
            </w: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следствий реализации проекта акта</w:t>
            </w:r>
          </w:p>
        </w:tc>
        <w:tc>
          <w:tcPr>
            <w:tcW w:w="5399" w:type="dxa"/>
            <w:gridSpan w:val="5"/>
            <w:shd w:val="clear" w:color="auto" w:fill="auto"/>
          </w:tcPr>
          <w:p w:rsidR="009B0E7B" w:rsidRPr="00891BF4" w:rsidRDefault="00427FE0" w:rsidP="002A57D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9B0E7B" w:rsidRPr="00891B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9B0E7B" w:rsidRPr="00385CB1" w:rsidTr="00845A4D">
        <w:trPr>
          <w:trHeight w:val="652"/>
        </w:trPr>
        <w:tc>
          <w:tcPr>
            <w:tcW w:w="5057" w:type="dxa"/>
            <w:gridSpan w:val="2"/>
            <w:vMerge/>
            <w:shd w:val="clear" w:color="auto" w:fill="auto"/>
          </w:tcPr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9B0E7B" w:rsidRPr="00D63497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Периодические </w:t>
            </w:r>
          </w:p>
        </w:tc>
      </w:tr>
      <w:tr w:rsidR="009B0E7B" w:rsidRPr="00385CB1" w:rsidTr="00845A4D">
        <w:trPr>
          <w:trHeight w:val="378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C86CD0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Содержательные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3"/>
            </w:r>
          </w:p>
        </w:tc>
      </w:tr>
      <w:tr w:rsidR="009B0E7B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994B1E" w:rsidRDefault="009B0E7B" w:rsidP="009157D2">
            <w:r>
              <w:t>Вид издержек 1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994B1E" w:rsidRDefault="002D0642" w:rsidP="009157D2">
            <w:r>
              <w:t>Вид издержек N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411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/>
              <w:ind w:left="34" w:hanging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Информационные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4"/>
            </w:r>
          </w:p>
        </w:tc>
      </w:tr>
      <w:tr w:rsidR="009B0E7B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4375AB" w:rsidRDefault="009B0E7B" w:rsidP="009157D2">
            <w:r>
              <w:t>Вид издержек 1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4375AB" w:rsidRDefault="002D0642" w:rsidP="009157D2">
            <w:r>
              <w:t>Вид издержек N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70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Преимущества и (или) иные выгоды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5"/>
            </w:r>
          </w:p>
        </w:tc>
      </w:tr>
      <w:tr w:rsidR="009B0E7B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DE6162" w:rsidRDefault="009B0E7B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DE6162" w:rsidRDefault="002D0642" w:rsidP="009157D2">
            <w:r>
              <w:t>Вид издержек N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69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27FE0" w:rsidRDefault="007C5301" w:rsidP="007C530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7.1.6.</w:t>
            </w:r>
          </w:p>
          <w:p w:rsidR="009B0E7B" w:rsidRPr="00D65E05" w:rsidRDefault="009B0E7B" w:rsidP="00427F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E05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Pr="00D0523E" w:rsidRDefault="009B0E7B" w:rsidP="0043560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Издержки (содержательные и инфо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мационные)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A91146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Default="009B0E7B" w:rsidP="009B0E7B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реимущества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(или)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иные выгоды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</w:tr>
      <w:tr w:rsidR="009B0E7B" w:rsidRPr="00385CB1" w:rsidTr="00845A4D">
        <w:trPr>
          <w:trHeight w:val="577"/>
        </w:trPr>
        <w:tc>
          <w:tcPr>
            <w:tcW w:w="10456" w:type="dxa"/>
            <w:gridSpan w:val="7"/>
            <w:shd w:val="clear" w:color="auto" w:fill="auto"/>
          </w:tcPr>
          <w:p w:rsidR="009B0E7B" w:rsidRPr="0019212D" w:rsidRDefault="00427FE0" w:rsidP="00EC5E21">
            <w:pPr>
              <w:pStyle w:val="ad"/>
              <w:spacing w:before="120"/>
              <w:ind w:left="34" w:firstLine="1"/>
              <w:jc w:val="left"/>
            </w:pPr>
            <w:r>
              <w:t xml:space="preserve">7.1.7. </w:t>
            </w:r>
            <w:r w:rsidR="009B0E7B" w:rsidRPr="00A1076A">
              <w:t>Источники данных:</w:t>
            </w:r>
            <w:r w:rsidR="009B0E7B">
              <w:t xml:space="preserve"> </w:t>
            </w:r>
            <w:r w:rsidR="00765D79" w:rsidRPr="00765D79">
              <w:rPr>
                <w:bCs w:val="0"/>
              </w:rPr>
              <w:t>-</w:t>
            </w:r>
          </w:p>
          <w:p w:rsidR="009B0E7B" w:rsidRPr="00390469" w:rsidRDefault="009B0E7B" w:rsidP="001F1F10">
            <w:pPr>
              <w:keepNext/>
              <w:spacing w:after="0" w:line="240" w:lineRule="auto"/>
              <w:ind w:left="3686" w:firstLine="1"/>
              <w:outlineLvl w:val="0"/>
              <w:rPr>
                <w:rFonts w:ascii="Times New Roman" w:hAnsi="Times New Roman" w:cs="Times New Roman"/>
                <w:i/>
                <w:sz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  <w:p w:rsidR="009B0E7B" w:rsidRPr="00494594" w:rsidRDefault="009B0E7B" w:rsidP="009B0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9B0E7B" w:rsidRPr="00385CB1" w:rsidTr="00845A4D">
        <w:trPr>
          <w:trHeight w:val="6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7C5301" w:rsidP="007C5301">
            <w:pPr>
              <w:keepNext/>
              <w:spacing w:after="0" w:line="240" w:lineRule="auto"/>
              <w:ind w:left="34" w:firstLine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7.1.8. 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Нормативно-правовые и (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или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)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организационные меры, предпринятые для с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кращения диспропорций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в нагрузке, связанной с реализацией проекта акта</w:t>
            </w:r>
          </w:p>
        </w:tc>
      </w:tr>
      <w:tr w:rsidR="009B0E7B" w:rsidRPr="00385CB1" w:rsidTr="00845A4D">
        <w:trPr>
          <w:trHeight w:val="551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Нормативно-правовые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-</w:t>
            </w:r>
          </w:p>
        </w:tc>
      </w:tr>
      <w:tr w:rsidR="009B0E7B" w:rsidRPr="00385CB1" w:rsidTr="00845A4D">
        <w:trPr>
          <w:trHeight w:val="559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Организационные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-</w:t>
            </w:r>
          </w:p>
        </w:tc>
      </w:tr>
      <w:tr w:rsidR="009B0E7B" w:rsidRPr="00385CB1" w:rsidTr="00845A4D">
        <w:trPr>
          <w:trHeight w:val="62"/>
        </w:trPr>
        <w:tc>
          <w:tcPr>
            <w:tcW w:w="4212" w:type="dxa"/>
            <w:shd w:val="clear" w:color="auto" w:fill="auto"/>
          </w:tcPr>
          <w:p w:rsidR="009B0E7B" w:rsidRPr="00385CB1" w:rsidRDefault="007C5301" w:rsidP="007C530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7.1.9.</w:t>
            </w:r>
          </w:p>
          <w:p w:rsidR="009B0E7B" w:rsidRPr="00385CB1" w:rsidRDefault="009B0E7B" w:rsidP="009B0E7B">
            <w:pPr>
              <w:spacing w:before="120" w:after="12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количественной 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дин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а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мики </w:t>
            </w:r>
            <w:r w:rsidRPr="00891BF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структуры регулируемых субъектов по категориям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при введении предлагаемого регул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рования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891BF4" w:rsidRDefault="009B0E7B" w:rsidP="005F5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Микро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приятия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Малы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редние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</w:tr>
      <w:tr w:rsidR="009B0E7B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9B0E7B" w:rsidRPr="008F7BE0" w:rsidRDefault="009B0E7B" w:rsidP="009E6102">
            <w:r>
              <w:t>(год 1)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2D0642" w:rsidRPr="008F7BE0" w:rsidRDefault="002D0642" w:rsidP="009157D2">
            <w:r>
              <w:t>(год N)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D445A1" w:rsidTr="00D445A1">
        <w:tc>
          <w:tcPr>
            <w:tcW w:w="1667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нения существующих функций, полномочий, об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занностей или прав</w:t>
            </w:r>
          </w:p>
        </w:tc>
        <w:tc>
          <w:tcPr>
            <w:tcW w:w="166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8.2.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трат и (или) потребностей в иных ресурсах</w:t>
            </w:r>
          </w:p>
        </w:tc>
      </w:tr>
    </w:tbl>
    <w:p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 органа: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Принятие правовых актов по вопросам создания, ведения и эксплуатации Единой системы, в том числе по следующим вопросам: - утверждение структуры и порядка ведения федеральной интегрированной электронной медицинской карт; - утверждение перечня, порядка ведения и использования нормативно-справочной информации; - утверждение регламентов функционирования компонентов Единой системы; - утверждение порядка регистрации пользователей Единой системы; - утверждение технических стандартов и требований к технологической совместимости Единой системы с внешними информационными системами, требования к стандартам и протоколам обмена документами Единой системы с внешними информационными системами.</w:t>
            </w:r>
          </w:p>
        </w:tc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рамках осуществения функции по нормативно-правовому регулированию в сфере здравоохранения.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потребует выделения дополнительных средств из бюджетов бюджетной системы Российской Федерации, осуществляется в рамках текущего объема финансирования (включая объемы финансирования, предусмотренные на создание, развитие и эксплуатацию Единой системы).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населения;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образования, научной, научно-технической и инновационной деятельности; Федеральный фонд обязательного медицинского страхования и территориальные фонды обязательного медицинского страхования; Пенсионный фонд Российской Федерации,  Фонд социального страхования Российской Федерации; уполномоченные исполнительные органы государственной власти субъектов Российской Федерации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Являются поставщиками информации в Единую систему, а также пользователями информации, содержащейся в Единой системе</w:t>
            </w:r>
          </w:p>
        </w:tc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порядке, установленном проектом постановления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потребует выделения дополнительных средств из бюджетов бюджетной системы Российской Федерации, осуществляется в рамках текущего объема финансирования (включая объемы финансирования, предусмотренные на создание, развитие и эксплуатацию Единой системы).</w:t>
            </w:r>
          </w:p>
        </w:tc>
      </w:tr>
    </w:tbl>
    <w:p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</w:t>
      </w: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жетной системы Российской Федерации</w:t>
      </w:r>
    </w:p>
    <w:tbl>
      <w:tblPr>
        <w:tblStyle w:val="a3"/>
        <w:tblW w:w="5000" w:type="pct"/>
        <w:tblLook w:val="04A0"/>
      </w:tblPr>
      <w:tblGrid>
        <w:gridCol w:w="3658"/>
        <w:gridCol w:w="3514"/>
        <w:gridCol w:w="3510"/>
      </w:tblGrid>
      <w:tr w:rsidR="00D445A1" w:rsidTr="00D445A1">
        <w:tc>
          <w:tcPr>
            <w:tcW w:w="1712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45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643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ступлений)</w:t>
            </w:r>
          </w:p>
        </w:tc>
      </w:tr>
    </w:tbl>
    <w:p w:rsidR="00132FC6" w:rsidRPr="00284FDB" w:rsidRDefault="00132FC6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7422" w:rsidRDefault="00D97422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12"/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466"/>
        <w:gridCol w:w="6879"/>
      </w:tblGrid>
      <w:tr w:rsidR="00A463BE" w:rsidTr="007940C7">
        <w:tc>
          <w:tcPr>
            <w:tcW w:w="540" w:type="pct"/>
          </w:tcPr>
          <w:p w:rsidR="00A463BE" w:rsidRPr="00FB5B21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77" w:type="pct"/>
          </w:tcPr>
          <w:p w:rsidR="00A463BE" w:rsidRPr="001C482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83" w:type="pct"/>
          </w:tcPr>
          <w:p w:rsidR="00A463BE" w:rsidRPr="001C1530" w:rsidRDefault="00A463BE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(Орган N)</w:t>
            </w:r>
          </w:p>
        </w:tc>
      </w:tr>
      <w:tr w:rsidR="00A463BE" w:rsidTr="00FD21EC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12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27"/>
              <w:gridCol w:w="2459"/>
              <w:gridCol w:w="864"/>
              <w:gridCol w:w="2581"/>
              <w:gridCol w:w="3425"/>
            </w:tblGrid>
            <w:tr w:rsidR="00A463BE" w:rsidTr="007940C7">
              <w:tc>
                <w:tcPr>
                  <w:tcW w:w="539" w:type="pct"/>
                  <w:vMerge w:val="restart"/>
                </w:tcPr>
                <w:p w:rsidR="00A463BE" w:rsidRPr="00C767C8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76" w:type="pct"/>
                  <w:vMerge w:val="restart"/>
                </w:tcPr>
                <w:p w:rsidR="00A463BE" w:rsidRPr="003764D7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федеральный орган исполнительной власти, осуществляющий функции по выработке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реализации государственной политики и нормативно-правовому регулированию в сфере здравоохранения</w:t>
                  </w: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9.4.2.</w:t>
                  </w:r>
                </w:p>
              </w:tc>
              <w:tc>
                <w:tcPr>
                  <w:tcW w:w="1234" w:type="pct"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Создание и ведение Единой системы в период 2017 - 2018 годов потребует 1 445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494,48 тыс. рублей, в том числе: на оказание услуг основной площадки ФЦОД Единой системы - 372 174,44 тыс. рублей; на оказание услуг резервной площадки  ФЦОД Единой системы - 371 970,12 тыс. рублей; на оказание услуг тестовой площадки  ФЦОД Единой системы - 153 124,12 тыс. рублей; на оказание услуг по поддержке прикладных подсистем Единой системы федерального уровня - 281 650,14 тыс. рублей; на оказание услуг по развитию прикладных подсистем -  266 575,66 тыс. рублей.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A463B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865"/>
        <w:gridCol w:w="6307"/>
        <w:gridCol w:w="3510"/>
      </w:tblGrid>
      <w:tr w:rsidR="00D97422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9.5.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D97422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обоснование к проекту постановления Правительс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держания существующих обязанностей и ограничений, а также порядок орган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 их исполнения</w:t>
      </w:r>
    </w:p>
    <w:tbl>
      <w:tblPr>
        <w:tblStyle w:val="a3"/>
        <w:tblW w:w="5000" w:type="pct"/>
        <w:tblLook w:val="04A0"/>
      </w:tblPr>
      <w:tblGrid>
        <w:gridCol w:w="3470"/>
        <w:gridCol w:w="3653"/>
        <w:gridCol w:w="3559"/>
      </w:tblGrid>
      <w:tr w:rsidR="00D445A1" w:rsidTr="00D445A1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71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ществ, обязанностей, огр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ничений или изменения с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 xml:space="preserve">держания существующих 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</w:p>
        </w:tc>
        <w:tc>
          <w:tcPr>
            <w:tcW w:w="1666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полнения обязанностей и ограничений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D445A1" w:rsidRPr="005545B8" w:rsidRDefault="00D445A1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Look w:val="04A0"/>
      </w:tblPr>
      <w:tblGrid>
        <w:gridCol w:w="3436"/>
        <w:gridCol w:w="7143"/>
      </w:tblGrid>
      <w:tr w:rsidR="00D445A1" w:rsidTr="009537E6">
        <w:trPr>
          <w:trHeight w:val="665"/>
          <w:jc w:val="right"/>
        </w:trPr>
        <w:tc>
          <w:tcPr>
            <w:tcW w:w="1624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Органы, организации государственной, муниципальной и частной систем здравоохранения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00"/>
              <w:gridCol w:w="3523"/>
            </w:tblGrid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 Доступ к сведениям, содержащимся в Единой системе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порядке, установленном проектом постановления</w:t>
                  </w:r>
                </w:p>
              </w:tc>
            </w:tr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2. Возможность обеспечения взаимодействия информационных систем в сфере здравоохранения, возможность дистанционного взаимодействия медицинских работников, в том числе с использованием телемедицнских технологий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порядке, установленном проектом постановления</w:t>
                  </w:r>
                </w:p>
              </w:tc>
            </w:tr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3. Обязанность предоставления сведений в Единую систему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порядке, установленном проектом постановления</w:t>
                  </w:r>
                </w:p>
              </w:tc>
            </w:tr>
          </w:tbl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/>
      </w:tblPr>
      <w:tblGrid>
        <w:gridCol w:w="3469"/>
        <w:gridCol w:w="3632"/>
        <w:gridCol w:w="3581"/>
      </w:tblGrid>
      <w:tr w:rsidR="00D445A1" w:rsidTr="00386D30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70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нения содержания сущес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вующих обязанностей и о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700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</w:tbl>
    <w:p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857"/>
        <w:gridCol w:w="2571"/>
        <w:gridCol w:w="7151"/>
      </w:tblGrid>
      <w:tr w:rsidR="00D445A1" w:rsidRPr="00EF1EE9" w:rsidTr="009537E6">
        <w:trPr>
          <w:trHeight w:val="725"/>
        </w:trPr>
        <w:tc>
          <w:tcPr>
            <w:tcW w:w="1620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Медицинские организации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37"/>
              <w:gridCol w:w="3494"/>
            </w:tblGrid>
            <w:tr w:rsidR="00D445A1" w:rsidTr="00244CDC">
              <w:trPr>
                <w:trHeight w:val="890"/>
              </w:trPr>
              <w:tc>
                <w:tcPr>
                  <w:tcW w:w="2550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Предоставление сведений в Единую систему</w:t>
                  </w:r>
                </w:p>
              </w:tc>
              <w:tc>
                <w:tcPr>
                  <w:tcW w:w="2502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445A1" w:rsidRPr="00EF1EE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C08" w:rsidRPr="00A039A7" w:rsidTr="00802E60">
        <w:tc>
          <w:tcPr>
            <w:tcW w:w="405" w:type="pct"/>
          </w:tcPr>
          <w:p w:rsidR="00C02C08" w:rsidRPr="00C02C08" w:rsidRDefault="00C02C0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02C08" w:rsidRDefault="00C02C08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2C08" w:rsidRPr="0089208D" w:rsidRDefault="00C02C08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открытые данные, экспертные оценки</w:t>
            </w:r>
          </w:p>
          <w:p w:rsidR="00C02C08" w:rsidRPr="00A039A7" w:rsidRDefault="00C02C0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110E" w:rsidRDefault="00770DF5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70DF5">
        <w:rPr>
          <w:rFonts w:ascii="Times New Roman" w:hAnsi="Times New Roman" w:cs="Times New Roman"/>
          <w:b/>
          <w:sz w:val="28"/>
          <w:szCs w:val="28"/>
        </w:rPr>
        <w:t>Информация об отмене обязанностей, запретов или ограничений для субъе</w:t>
      </w:r>
      <w:r w:rsidRPr="00770DF5">
        <w:rPr>
          <w:rFonts w:ascii="Times New Roman" w:hAnsi="Times New Roman" w:cs="Times New Roman"/>
          <w:b/>
          <w:sz w:val="28"/>
          <w:szCs w:val="28"/>
        </w:rPr>
        <w:t>к</w:t>
      </w:r>
      <w:r w:rsidRPr="00770DF5">
        <w:rPr>
          <w:rFonts w:ascii="Times New Roman" w:hAnsi="Times New Roman" w:cs="Times New Roman"/>
          <w:b/>
          <w:sz w:val="28"/>
          <w:szCs w:val="28"/>
        </w:rPr>
        <w:t>тов предпринимательской и иной экономической деятельности</w:t>
      </w:r>
      <w:r w:rsidR="009578D4">
        <w:rPr>
          <w:rStyle w:val="ab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795"/>
        <w:gridCol w:w="4546"/>
        <w:gridCol w:w="5341"/>
      </w:tblGrid>
      <w:tr w:rsidR="001901A2" w:rsidTr="00E57FA6">
        <w:tc>
          <w:tcPr>
            <w:tcW w:w="2500" w:type="pct"/>
            <w:gridSpan w:val="2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</w:t>
            </w: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претов или ограничений</w:t>
            </w:r>
          </w:p>
        </w:tc>
        <w:tc>
          <w:tcPr>
            <w:tcW w:w="2500" w:type="pct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(N.1)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(N.K)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D36FB" w:rsidTr="00D445A1">
        <w:tc>
          <w:tcPr>
            <w:tcW w:w="372" w:type="pct"/>
          </w:tcPr>
          <w:p w:rsidR="00BD36FB" w:rsidRPr="00F53F88" w:rsidRDefault="00BD36FB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628" w:type="pct"/>
            <w:gridSpan w:val="2"/>
          </w:tcPr>
          <w:p w:rsidR="00BD36FB" w:rsidRDefault="00BD36FB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3F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 запреты или ограничения:</w:t>
            </w:r>
          </w:p>
          <w:p w:rsidR="00BD36FB" w:rsidRPr="0089208D" w:rsidRDefault="00BD36FB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36FB" w:rsidRDefault="00BD36F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1221" w:rsidRDefault="0089122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</w:t>
      </w:r>
      <w:r w:rsidRPr="00891221">
        <w:rPr>
          <w:rFonts w:ascii="Times New Roman" w:hAnsi="Times New Roman" w:cs="Times New Roman"/>
          <w:b/>
          <w:sz w:val="28"/>
          <w:szCs w:val="28"/>
        </w:rPr>
        <w:t>з</w:t>
      </w:r>
      <w:r w:rsidRPr="00891221">
        <w:rPr>
          <w:rFonts w:ascii="Times New Roman" w:hAnsi="Times New Roman" w:cs="Times New Roman"/>
          <w:b/>
          <w:sz w:val="28"/>
          <w:szCs w:val="28"/>
        </w:rPr>
        <w:t>бранного способа достижения целей регулирования</w:t>
      </w:r>
    </w:p>
    <w:tbl>
      <w:tblPr>
        <w:tblStyle w:val="a3"/>
        <w:tblW w:w="5000" w:type="pct"/>
        <w:tblLook w:val="04A0"/>
      </w:tblPr>
      <w:tblGrid>
        <w:gridCol w:w="794"/>
        <w:gridCol w:w="1875"/>
        <w:gridCol w:w="2671"/>
        <w:gridCol w:w="2671"/>
        <w:gridCol w:w="2671"/>
      </w:tblGrid>
      <w:tr w:rsidR="00D445A1" w:rsidTr="00D445A1">
        <w:tc>
          <w:tcPr>
            <w:tcW w:w="1250" w:type="pct"/>
            <w:gridSpan w:val="2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женным способом и риски негативных последствий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0" w:type="pct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бранного способа достижения целей регулирования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D445A1" w:rsidRPr="00A419BD" w:rsidRDefault="00D445A1" w:rsidP="009B0E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5A1" w:rsidTr="00D445A1">
        <w:tc>
          <w:tcPr>
            <w:tcW w:w="1250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445A1" w:rsidTr="00D445A1">
        <w:tc>
          <w:tcPr>
            <w:tcW w:w="372" w:type="pct"/>
          </w:tcPr>
          <w:p w:rsidR="00D445A1" w:rsidRPr="00F53F88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628" w:type="pct"/>
            <w:gridSpan w:val="4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7227A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A9">
        <w:rPr>
          <w:rFonts w:ascii="Times New Roman" w:hAnsi="Times New Roman" w:cs="Times New Roman"/>
          <w:b/>
          <w:sz w:val="28"/>
          <w:szCs w:val="28"/>
        </w:rPr>
        <w:t>14. Необходимые для достижения заявленных целей регулирования организац</w:t>
      </w:r>
      <w:r w:rsidRPr="007227A9">
        <w:rPr>
          <w:rFonts w:ascii="Times New Roman" w:hAnsi="Times New Roman" w:cs="Times New Roman"/>
          <w:b/>
          <w:sz w:val="28"/>
          <w:szCs w:val="28"/>
        </w:rPr>
        <w:t>и</w:t>
      </w:r>
      <w:r w:rsidRPr="007227A9">
        <w:rPr>
          <w:rFonts w:ascii="Times New Roman" w:hAnsi="Times New Roman" w:cs="Times New Roman"/>
          <w:b/>
          <w:sz w:val="28"/>
          <w:szCs w:val="28"/>
        </w:rPr>
        <w:t>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/>
      </w:tblPr>
      <w:tblGrid>
        <w:gridCol w:w="894"/>
        <w:gridCol w:w="1476"/>
        <w:gridCol w:w="1992"/>
        <w:gridCol w:w="1773"/>
        <w:gridCol w:w="2211"/>
        <w:gridCol w:w="2336"/>
      </w:tblGrid>
      <w:tr w:rsidR="00D445A1" w:rsidTr="00D445A1">
        <w:tc>
          <w:tcPr>
            <w:tcW w:w="986" w:type="pct"/>
            <w:gridSpan w:val="2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</w:t>
            </w: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лей регулиров</w:t>
            </w: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41" w:type="pct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D445A1" w:rsidTr="00D445A1">
        <w:tc>
          <w:tcPr>
            <w:tcW w:w="986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Принятие актов Минздрава России, предусмотренных проектом постановления</w:t>
            </w:r>
          </w:p>
        </w:tc>
        <w:tc>
          <w:tcPr>
            <w:tcW w:w="9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4-месячный срок с момента принятия постановления</w:t>
            </w:r>
          </w:p>
        </w:tc>
        <w:tc>
          <w:tcPr>
            <w:tcW w:w="941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57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Приняты акты Минздрава России, необходимые для реализации проекта постановления</w:t>
            </w:r>
          </w:p>
        </w:tc>
        <w:tc>
          <w:tcPr>
            <w:tcW w:w="10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Дополнительного финансирования не требуется</w:t>
            </w:r>
          </w:p>
        </w:tc>
      </w:tr>
      <w:tr w:rsidR="00D445A1" w:rsidRPr="00C97D92" w:rsidTr="00D445A1">
        <w:trPr>
          <w:trHeight w:val="1118"/>
        </w:trPr>
        <w:tc>
          <w:tcPr>
            <w:tcW w:w="372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70" w:type="pct"/>
            <w:gridSpan w:val="4"/>
          </w:tcPr>
          <w:p w:rsidR="00D445A1" w:rsidRPr="00360BE6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D445A1" w:rsidRPr="00360BE6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5192" w:rsidRDefault="007A0D7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77">
        <w:rPr>
          <w:rFonts w:ascii="Times New Roman" w:hAnsi="Times New Roman" w:cs="Times New Roman"/>
          <w:b/>
          <w:sz w:val="28"/>
          <w:szCs w:val="28"/>
        </w:rPr>
        <w:lastRenderedPageBreak/>
        <w:t>15. Индикативные показатели,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(мет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о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ды) оценки достижения заявленных целей регулирования</w:t>
      </w:r>
    </w:p>
    <w:tbl>
      <w:tblPr>
        <w:tblStyle w:val="a3"/>
        <w:tblW w:w="5000" w:type="pct"/>
        <w:tblLook w:val="04A0"/>
      </w:tblPr>
      <w:tblGrid>
        <w:gridCol w:w="2670"/>
        <w:gridCol w:w="2564"/>
        <w:gridCol w:w="2884"/>
        <w:gridCol w:w="2564"/>
      </w:tblGrid>
      <w:tr w:rsidR="007D5192" w:rsidRPr="00A419BD" w:rsidTr="00386D30">
        <w:tc>
          <w:tcPr>
            <w:tcW w:w="12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  <w:tc>
          <w:tcPr>
            <w:tcW w:w="120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</w:t>
            </w: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казатели</w:t>
            </w:r>
          </w:p>
        </w:tc>
        <w:tc>
          <w:tcPr>
            <w:tcW w:w="13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</w:t>
            </w: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</w:p>
        </w:tc>
        <w:tc>
          <w:tcPr>
            <w:tcW w:w="1260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</w:tbl>
    <w:p w:rsidR="007D5192" w:rsidRPr="00DF07CE" w:rsidRDefault="007D5192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2645"/>
        <w:gridCol w:w="7934"/>
      </w:tblGrid>
      <w:tr w:rsidR="007D5192" w:rsidRPr="00091128" w:rsidTr="00386D30">
        <w:trPr>
          <w:trHeight w:val="719"/>
        </w:trPr>
        <w:tc>
          <w:tcPr>
            <w:tcW w:w="1250" w:type="pct"/>
          </w:tcPr>
          <w:p w:rsidR="007D5192" w:rsidRPr="0009112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Закрепление правовых основ функционирования Единой системы с целью обеспечения доступа граждан к услугам в сфере здравоохранения в электронной форме, а также взаимодействия информационных систем в сфере здравоохранения</w:t>
            </w:r>
          </w:p>
        </w:tc>
        <w:tc>
          <w:tcPr>
            <w:tcW w:w="3782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535"/>
              <w:gridCol w:w="2843"/>
              <w:gridCol w:w="2536"/>
            </w:tblGrid>
            <w:tr w:rsidR="007D5192" w:rsidTr="00462C44">
              <w:trPr>
                <w:trHeight w:val="890"/>
              </w:trPr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польз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вателей и поставщ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 информации в систему</w:t>
                  </w:r>
                </w:p>
              </w:tc>
              <w:tc>
                <w:tcPr>
                  <w:tcW w:w="1794" w:type="pct"/>
                </w:tcPr>
                <w:p w:rsidR="007D5192" w:rsidRDefault="007D5192" w:rsidP="009B0E7B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штуки</w:t>
                  </w:r>
                </w:p>
              </w:tc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статистические да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</w:t>
                  </w:r>
                </w:p>
              </w:tc>
            </w:tr>
          </w:tbl>
          <w:p w:rsidR="007D5192" w:rsidRPr="007F20FC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92" w:rsidRPr="005704E5" w:rsidRDefault="007D5192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794"/>
        <w:gridCol w:w="6008"/>
        <w:gridCol w:w="3880"/>
      </w:tblGrid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RPr="00432398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812" w:type="pct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7D5192" w:rsidRPr="0043239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отсуствует</w:t>
            </w:r>
          </w:p>
        </w:tc>
      </w:tr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15.7.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BB1753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</w:t>
      </w:r>
      <w:r w:rsidRPr="00BB1753">
        <w:rPr>
          <w:rFonts w:ascii="Times New Roman" w:hAnsi="Times New Roman" w:cs="Times New Roman"/>
          <w:b/>
          <w:sz w:val="28"/>
          <w:szCs w:val="28"/>
        </w:rPr>
        <w:t>а</w:t>
      </w:r>
      <w:r w:rsidRPr="00BB1753">
        <w:rPr>
          <w:rFonts w:ascii="Times New Roman" w:hAnsi="Times New Roman" w:cs="Times New Roman"/>
          <w:b/>
          <w:sz w:val="28"/>
          <w:szCs w:val="28"/>
        </w:rPr>
        <w:t>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/>
      </w:tblPr>
      <w:tblGrid>
        <w:gridCol w:w="792"/>
        <w:gridCol w:w="4405"/>
        <w:gridCol w:w="793"/>
        <w:gridCol w:w="579"/>
        <w:gridCol w:w="4113"/>
      </w:tblGrid>
      <w:tr w:rsidR="007D5192" w:rsidTr="00C02C08"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екта акта:</w:t>
            </w:r>
          </w:p>
        </w:tc>
        <w:tc>
          <w:tcPr>
            <w:tcW w:w="1925" w:type="pct"/>
          </w:tcPr>
          <w:p w:rsidR="007D5192" w:rsidRPr="00842B4E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января 2018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</w:t>
            </w: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реходных положений (переходн</w:t>
            </w: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го периода):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</w:p>
        </w:tc>
        <w:tc>
          <w:tcPr>
            <w:tcW w:w="2196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ся эксперимент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тижения заявленных целей эксперимента по итогам его проведения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6063F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F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</w:t>
      </w:r>
      <w:r w:rsidRPr="006063F9">
        <w:rPr>
          <w:rFonts w:ascii="Times New Roman" w:hAnsi="Times New Roman" w:cs="Times New Roman"/>
          <w:b/>
          <w:sz w:val="28"/>
          <w:szCs w:val="28"/>
        </w:rPr>
        <w:t>в</w:t>
      </w:r>
      <w:r w:rsidRPr="006063F9">
        <w:rPr>
          <w:rFonts w:ascii="Times New Roman" w:hAnsi="Times New Roman" w:cs="Times New Roman"/>
          <w:b/>
          <w:sz w:val="28"/>
          <w:szCs w:val="28"/>
        </w:rPr>
        <w:t>ших их структурных подразделениях разработчика</w:t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 w:val="restar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15.09.2017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12.10.2017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</w:t>
            </w: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823A56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56">
        <w:rPr>
          <w:rFonts w:ascii="Times New Roman" w:hAnsi="Times New Roman" w:cs="Times New Roman"/>
          <w:b/>
          <w:sz w:val="28"/>
          <w:szCs w:val="28"/>
        </w:rPr>
        <w:t>18.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/>
      </w:tblPr>
      <w:tblGrid>
        <w:gridCol w:w="792"/>
        <w:gridCol w:w="7747"/>
        <w:gridCol w:w="2143"/>
      </w:tblGrid>
      <w:tr w:rsidR="007D5192" w:rsidTr="00C02C08">
        <w:trPr>
          <w:trHeight w:val="105"/>
        </w:trPr>
        <w:tc>
          <w:tcPr>
            <w:tcW w:w="371" w:type="pct"/>
          </w:tcPr>
          <w:p w:rsidR="007D5192" w:rsidRPr="00D87D08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</w:t>
            </w:r>
          </w:p>
        </w:tc>
        <w:tc>
          <w:tcPr>
            <w:tcW w:w="3626" w:type="pct"/>
          </w:tcPr>
          <w:p w:rsidR="007D5192" w:rsidRPr="00D87D0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03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[o_18_</w:t>
            </w:r>
            <w:r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7D5192" w:rsidRPr="00466BB9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1A47DC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</w:t>
      </w:r>
      <w:r w:rsidRPr="001A47DC">
        <w:rPr>
          <w:rFonts w:ascii="Times New Roman" w:hAnsi="Times New Roman" w:cs="Times New Roman"/>
          <w:b/>
          <w:sz w:val="28"/>
          <w:szCs w:val="28"/>
        </w:rPr>
        <w:t>с</w:t>
      </w:r>
      <w:r w:rsidRPr="001A47DC">
        <w:rPr>
          <w:rFonts w:ascii="Times New Roman" w:hAnsi="Times New Roman" w:cs="Times New Roman"/>
          <w:b/>
          <w:sz w:val="28"/>
          <w:szCs w:val="28"/>
        </w:rPr>
        <w:t>нованность предлагаемого регулирования</w:t>
      </w:r>
    </w:p>
    <w:tbl>
      <w:tblPr>
        <w:tblStyle w:val="a3"/>
        <w:tblW w:w="5000" w:type="pct"/>
        <w:tblLook w:val="04A0"/>
      </w:tblPr>
      <w:tblGrid>
        <w:gridCol w:w="793"/>
        <w:gridCol w:w="9889"/>
      </w:tblGrid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317FD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</w:t>
      </w:r>
      <w:r w:rsidRPr="00317FD7">
        <w:rPr>
          <w:rFonts w:ascii="Times New Roman" w:hAnsi="Times New Roman" w:cs="Times New Roman"/>
          <w:b/>
          <w:sz w:val="28"/>
          <w:szCs w:val="28"/>
        </w:rPr>
        <w:t>о</w:t>
      </w:r>
      <w:r w:rsidRPr="00317FD7">
        <w:rPr>
          <w:rFonts w:ascii="Times New Roman" w:hAnsi="Times New Roman" w:cs="Times New Roman"/>
          <w:b/>
          <w:sz w:val="28"/>
          <w:szCs w:val="28"/>
        </w:rPr>
        <w:t>ведения, федеральных органах исполнительной власти и представителях пре</w:t>
      </w:r>
      <w:r w:rsidRPr="00317FD7">
        <w:rPr>
          <w:rFonts w:ascii="Times New Roman" w:hAnsi="Times New Roman" w:cs="Times New Roman"/>
          <w:b/>
          <w:sz w:val="28"/>
          <w:szCs w:val="28"/>
        </w:rPr>
        <w:t>д</w:t>
      </w:r>
      <w:r w:rsidRPr="00317FD7">
        <w:rPr>
          <w:rFonts w:ascii="Times New Roman" w:hAnsi="Times New Roman" w:cs="Times New Roman"/>
          <w:b/>
          <w:sz w:val="28"/>
          <w:szCs w:val="28"/>
        </w:rPr>
        <w:t>принимательского сообщества, извещенных о проведении публичных консульт</w:t>
      </w:r>
      <w:r w:rsidRPr="00317FD7">
        <w:rPr>
          <w:rFonts w:ascii="Times New Roman" w:hAnsi="Times New Roman" w:cs="Times New Roman"/>
          <w:b/>
          <w:sz w:val="28"/>
          <w:szCs w:val="28"/>
        </w:rPr>
        <w:t>а</w:t>
      </w:r>
      <w:r w:rsidRPr="00317FD7">
        <w:rPr>
          <w:rFonts w:ascii="Times New Roman" w:hAnsi="Times New Roman" w:cs="Times New Roman"/>
          <w:b/>
          <w:sz w:val="28"/>
          <w:szCs w:val="28"/>
        </w:rPr>
        <w:t>ций, а также о лицах, представивших предложения, и рассмотревших их стру</w:t>
      </w:r>
      <w:r w:rsidRPr="00317FD7">
        <w:rPr>
          <w:rFonts w:ascii="Times New Roman" w:hAnsi="Times New Roman" w:cs="Times New Roman"/>
          <w:b/>
          <w:sz w:val="28"/>
          <w:szCs w:val="28"/>
        </w:rPr>
        <w:t>к</w:t>
      </w:r>
      <w:r w:rsidRPr="00317FD7">
        <w:rPr>
          <w:rFonts w:ascii="Times New Roman" w:hAnsi="Times New Roman" w:cs="Times New Roman"/>
          <w:b/>
          <w:sz w:val="28"/>
          <w:szCs w:val="28"/>
        </w:rPr>
        <w:t>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3"/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 w:val="restar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 w:rsidR="009F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</w:t>
            </w: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сультаций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</w:t>
            </w: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9B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lastRenderedPageBreak/>
        <w:t>Указание (при наличии) на приложения.</w:t>
      </w:r>
    </w:p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BB7FB0" w:rsidTr="00C02C08">
        <w:tc>
          <w:tcPr>
            <w:tcW w:w="2642" w:type="pct"/>
            <w:vAlign w:val="bottom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Е.Л. Бойко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11.09.2017</w:t>
            </w: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FE" w:rsidRDefault="00FA2BFE" w:rsidP="00EA7CC1">
      <w:pPr>
        <w:spacing w:after="0" w:line="240" w:lineRule="auto"/>
      </w:pPr>
      <w:r>
        <w:separator/>
      </w:r>
    </w:p>
  </w:endnote>
  <w:endnote w:type="continuationSeparator" w:id="0">
    <w:p w:rsidR="00FA2BFE" w:rsidRDefault="00FA2BFE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FE" w:rsidRDefault="00FA2BFE" w:rsidP="00EA7CC1">
      <w:pPr>
        <w:spacing w:after="0" w:line="240" w:lineRule="auto"/>
      </w:pPr>
      <w:r>
        <w:separator/>
      </w:r>
    </w:p>
  </w:footnote>
  <w:footnote w:type="continuationSeparator" w:id="0">
    <w:p w:rsidR="00FA2BFE" w:rsidRDefault="00FA2BFE" w:rsidP="00EA7CC1">
      <w:pPr>
        <w:spacing w:after="0" w:line="240" w:lineRule="auto"/>
      </w:pPr>
      <w:r>
        <w:continuationSeparator/>
      </w:r>
    </w:p>
  </w:footnote>
  <w:footnote w:id="1">
    <w:p w:rsidR="002D0642" w:rsidRPr="00903A82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</w:t>
      </w:r>
      <w:r w:rsidRPr="00903A82">
        <w:t>е</w:t>
      </w:r>
      <w:r w:rsidRPr="00903A82">
        <w:t>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</w:t>
      </w:r>
      <w:r w:rsidRPr="00903A82">
        <w:t>е</w:t>
      </w:r>
      <w:r w:rsidRPr="00903A82">
        <w:t>дерации от 17 декабря 2012 г. № 1318 (далее – Правила).</w:t>
      </w:r>
    </w:p>
  </w:footnote>
  <w:footnote w:id="2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622E68">
          <w:rPr>
            <w:rFonts w:cs="Times New Roman"/>
          </w:rPr>
          <w:t>Стратегия</w:t>
        </w:r>
      </w:hyperlink>
      <w:r w:rsidRPr="00622E68">
        <w:rPr>
          <w:rFonts w:cs="Times New Roman"/>
        </w:rPr>
        <w:t xml:space="preserve"> развития малого и среднего предпринимательства в Российской Федерации на период до 2030 года, утве</w:t>
      </w:r>
      <w:r w:rsidRPr="00622E68">
        <w:rPr>
          <w:rFonts w:cs="Times New Roman"/>
        </w:rPr>
        <w:t>р</w:t>
      </w:r>
      <w:r w:rsidRPr="00622E68">
        <w:rPr>
          <w:rFonts w:cs="Times New Roman"/>
        </w:rPr>
        <w:t>жденная распоряжением Правительства Российской Федерации от 2 июня 2016 г. N 1083-р (Собрание законодательства Российской Федерации, 2016, N 24, ст. 3549).</w:t>
      </w:r>
    </w:p>
  </w:footnote>
  <w:footnote w:id="3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22E68">
        <w:rPr>
          <w:rFonts w:cs="Times New Roman"/>
        </w:rPr>
        <w:t>Приобретение (установка и обслуживание) оборудования, найм дополнительного персонала, заказ (представление) услуг, выполнение работ, обучение персонала, обеспечение новых рабочих мест</w:t>
      </w:r>
      <w:r>
        <w:rPr>
          <w:rFonts w:cs="Times New Roman"/>
        </w:rPr>
        <w:t>, иные содержательные издержки.</w:t>
      </w:r>
    </w:p>
  </w:footnote>
  <w:footnote w:id="4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2006">
        <w:rPr>
          <w:rFonts w:cs="Times New Roman"/>
        </w:rPr>
        <w:t>Представление информации (документы и их копии, уведомления), формирование и хранение информации, необх</w:t>
      </w:r>
      <w:r w:rsidRPr="00232006">
        <w:rPr>
          <w:rFonts w:cs="Times New Roman"/>
        </w:rPr>
        <w:t>о</w:t>
      </w:r>
      <w:r w:rsidRPr="00232006">
        <w:rPr>
          <w:rFonts w:cs="Times New Roman"/>
        </w:rPr>
        <w:t>димой для представления по запросу со стороны органов власти и (или) уполномоченных представителей, иные инфо</w:t>
      </w:r>
      <w:r w:rsidRPr="00232006">
        <w:rPr>
          <w:rFonts w:cs="Times New Roman"/>
        </w:rPr>
        <w:t>р</w:t>
      </w:r>
      <w:r w:rsidRPr="00232006">
        <w:rPr>
          <w:rFonts w:cs="Times New Roman"/>
        </w:rPr>
        <w:t>мационные издержки</w:t>
      </w:r>
    </w:p>
  </w:footnote>
  <w:footnote w:id="5">
    <w:p w:rsidR="002D0642" w:rsidRDefault="002D064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 w:cs="Calibri"/>
        </w:rPr>
        <w:t>Налоговые льготы, субсидирование, иные льготы, выгоды, преимущества.</w:t>
      </w:r>
    </w:p>
  </w:footnote>
  <w:footnote w:id="6">
    <w:p w:rsidR="002D0642" w:rsidRPr="00F837C7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7">
    <w:p w:rsidR="002D0642" w:rsidRPr="00F776B0" w:rsidRDefault="002D0642" w:rsidP="00A463BE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8">
    <w:p w:rsidR="002D0642" w:rsidRPr="00F95A61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9">
    <w:p w:rsidR="002D0642" w:rsidRPr="006007BA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10">
    <w:p w:rsidR="002D0642" w:rsidRPr="001A71E6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11">
    <w:p w:rsidR="002D0642" w:rsidRDefault="002D0642" w:rsidP="009578D4">
      <w:pPr>
        <w:pStyle w:val="a9"/>
      </w:pPr>
      <w:r>
        <w:rPr>
          <w:rStyle w:val="ab"/>
        </w:rPr>
        <w:footnoteRef/>
      </w:r>
      <w:r>
        <w:t xml:space="preserve"> В соответствии с постановлением Правительства Российской Федерации от 30 января 2015 г. № 83 </w:t>
      </w:r>
    </w:p>
    <w:p w:rsidR="002D0642" w:rsidRPr="009578D4" w:rsidRDefault="002D0642" w:rsidP="009578D4">
      <w:pPr>
        <w:pStyle w:val="a9"/>
      </w:pPr>
      <w:r>
        <w:t>«О проведении оценки фактического воздействия нормативных правовых актов, а также о внесении изменений в нек</w:t>
      </w:r>
      <w:r>
        <w:t>о</w:t>
      </w:r>
      <w:r>
        <w:t>торые акты Правительства Российской Федерации» (Собрание законодательства Российской Федерации, 2015, № 6, ст. 965) положения раздела 12 вступают в силу с 1 октября 2015 года.</w:t>
      </w:r>
    </w:p>
  </w:footnote>
  <w:footnote w:id="12">
    <w:p w:rsidR="002D0642" w:rsidRPr="000F64B5" w:rsidRDefault="002D0642" w:rsidP="007D5192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13">
    <w:p w:rsidR="002D0642" w:rsidRPr="00970A33" w:rsidRDefault="002D0642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2D0642" w:rsidRDefault="0041632C">
        <w:pPr>
          <w:pStyle w:val="a5"/>
          <w:jc w:val="center"/>
        </w:pPr>
        <w:r>
          <w:fldChar w:fldCharType="begin"/>
        </w:r>
        <w:r w:rsidR="002D0642">
          <w:instrText>PAGE   \* MERGEFORMAT</w:instrText>
        </w:r>
        <w:r>
          <w:fldChar w:fldCharType="separate"/>
        </w:r>
        <w:r w:rsidR="00967A04">
          <w:rPr>
            <w:noProof/>
          </w:rPr>
          <w:t>1</w:t>
        </w:r>
        <w:r>
          <w:fldChar w:fldCharType="end"/>
        </w:r>
      </w:p>
    </w:sdtContent>
  </w:sdt>
  <w:p w:rsidR="002D0642" w:rsidRDefault="002D06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2F5"/>
    <w:rsid w:val="00001BF0"/>
    <w:rsid w:val="00016814"/>
    <w:rsid w:val="00016EE4"/>
    <w:rsid w:val="00026EAA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F11DA"/>
    <w:rsid w:val="000F5F46"/>
    <w:rsid w:val="000F64B5"/>
    <w:rsid w:val="000F7794"/>
    <w:rsid w:val="00104329"/>
    <w:rsid w:val="00111E3D"/>
    <w:rsid w:val="00112232"/>
    <w:rsid w:val="001147B0"/>
    <w:rsid w:val="00122467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38F5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44A57"/>
    <w:rsid w:val="003467FE"/>
    <w:rsid w:val="00360BE6"/>
    <w:rsid w:val="00365416"/>
    <w:rsid w:val="00365882"/>
    <w:rsid w:val="00365D61"/>
    <w:rsid w:val="00366A67"/>
    <w:rsid w:val="003764D7"/>
    <w:rsid w:val="00384CAC"/>
    <w:rsid w:val="00385B74"/>
    <w:rsid w:val="00386D30"/>
    <w:rsid w:val="0039010E"/>
    <w:rsid w:val="003913FB"/>
    <w:rsid w:val="00391420"/>
    <w:rsid w:val="003946A3"/>
    <w:rsid w:val="0039529B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1632C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C2EC5"/>
    <w:rsid w:val="004C6292"/>
    <w:rsid w:val="004D369A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F507C"/>
    <w:rsid w:val="006007BA"/>
    <w:rsid w:val="0060147B"/>
    <w:rsid w:val="006063F9"/>
    <w:rsid w:val="00607FB1"/>
    <w:rsid w:val="00610E87"/>
    <w:rsid w:val="0061277E"/>
    <w:rsid w:val="00614BC2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32C9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57D2"/>
    <w:rsid w:val="00917B14"/>
    <w:rsid w:val="00917DEB"/>
    <w:rsid w:val="009341C8"/>
    <w:rsid w:val="00942D15"/>
    <w:rsid w:val="00944BDC"/>
    <w:rsid w:val="009537E6"/>
    <w:rsid w:val="009578D4"/>
    <w:rsid w:val="00960706"/>
    <w:rsid w:val="00967A04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321C"/>
    <w:rsid w:val="00B06DEE"/>
    <w:rsid w:val="00B06E11"/>
    <w:rsid w:val="00B078A8"/>
    <w:rsid w:val="00B2089D"/>
    <w:rsid w:val="00B410FF"/>
    <w:rsid w:val="00B50ADC"/>
    <w:rsid w:val="00B66DC4"/>
    <w:rsid w:val="00B83F21"/>
    <w:rsid w:val="00B8497B"/>
    <w:rsid w:val="00B97069"/>
    <w:rsid w:val="00BB1753"/>
    <w:rsid w:val="00BB2E8D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7871"/>
    <w:rsid w:val="00C403E6"/>
    <w:rsid w:val="00C47EB9"/>
    <w:rsid w:val="00C5033F"/>
    <w:rsid w:val="00C56C8E"/>
    <w:rsid w:val="00C61463"/>
    <w:rsid w:val="00C6418E"/>
    <w:rsid w:val="00C72559"/>
    <w:rsid w:val="00C767C8"/>
    <w:rsid w:val="00C77C42"/>
    <w:rsid w:val="00C80154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21DBD"/>
    <w:rsid w:val="00D226BA"/>
    <w:rsid w:val="00D241D6"/>
    <w:rsid w:val="00D26176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3AB5"/>
    <w:rsid w:val="00DA41DE"/>
    <w:rsid w:val="00DB010D"/>
    <w:rsid w:val="00DB620F"/>
    <w:rsid w:val="00DC1DC5"/>
    <w:rsid w:val="00DC45EC"/>
    <w:rsid w:val="00DC6068"/>
    <w:rsid w:val="00DD2469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7FFC"/>
    <w:rsid w:val="00EC5E21"/>
    <w:rsid w:val="00EC6B41"/>
    <w:rsid w:val="00ED624E"/>
    <w:rsid w:val="00EE7507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A2BFE"/>
    <w:rsid w:val="00FB3203"/>
    <w:rsid w:val="00FB5B21"/>
    <w:rsid w:val="00FB5C56"/>
    <w:rsid w:val="00FC0995"/>
    <w:rsid w:val="00FC3021"/>
    <w:rsid w:val="00FC5866"/>
    <w:rsid w:val="00FD21EC"/>
    <w:rsid w:val="00FD3A27"/>
    <w:rsid w:val="00FF38CB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2C"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12A23AE2CF86198BCF5DE9917A5F5C806C718FC94E0E406C3563E5D07EC2B9B81420CBDD87AA10Bj2B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399E"/>
    <w:rsid w:val="00015779"/>
    <w:rsid w:val="000C5E25"/>
    <w:rsid w:val="000F6E42"/>
    <w:rsid w:val="001867DA"/>
    <w:rsid w:val="001D32D2"/>
    <w:rsid w:val="001F354E"/>
    <w:rsid w:val="00204909"/>
    <w:rsid w:val="002C5950"/>
    <w:rsid w:val="002D212C"/>
    <w:rsid w:val="00323294"/>
    <w:rsid w:val="003741E2"/>
    <w:rsid w:val="003B4346"/>
    <w:rsid w:val="003C3B73"/>
    <w:rsid w:val="004B3A17"/>
    <w:rsid w:val="005310A9"/>
    <w:rsid w:val="00554DF9"/>
    <w:rsid w:val="005A1DDC"/>
    <w:rsid w:val="00643264"/>
    <w:rsid w:val="006433BF"/>
    <w:rsid w:val="00786B2F"/>
    <w:rsid w:val="0080172D"/>
    <w:rsid w:val="009C2A30"/>
    <w:rsid w:val="00A4399E"/>
    <w:rsid w:val="00BE27C3"/>
    <w:rsid w:val="00C61AFE"/>
    <w:rsid w:val="00C75E81"/>
    <w:rsid w:val="00CD735F"/>
    <w:rsid w:val="00E3283F"/>
    <w:rsid w:val="00EA00EB"/>
    <w:rsid w:val="00EE002E"/>
    <w:rsid w:val="00F109B6"/>
    <w:rsid w:val="00F609E1"/>
    <w:rsid w:val="00F86BA7"/>
    <w:rsid w:val="00FA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482D-5248-456A-A4B7-99802CF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администратор4</cp:lastModifiedBy>
  <cp:revision>2</cp:revision>
  <dcterms:created xsi:type="dcterms:W3CDTF">2017-09-18T07:36:00Z</dcterms:created>
  <dcterms:modified xsi:type="dcterms:W3CDTF">2017-09-18T07:36:00Z</dcterms:modified>
</cp:coreProperties>
</file>