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/>
      </w:tblPr>
      <w:tblGrid>
        <w:gridCol w:w="3615"/>
        <w:gridCol w:w="1594"/>
        <w:gridCol w:w="5473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"/>
              <w:gridCol w:w="307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02/07/09-17/00073144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15.09.2017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12.10.2017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/>
      </w:tblPr>
      <w:tblGrid>
        <w:gridCol w:w="865"/>
        <w:gridCol w:w="3619"/>
        <w:gridCol w:w="6198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«Об утверждении Положения о единой государственной информационной системе в сфере здр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воохранения»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правового регулирования по отдельным вопросам функциониров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ния Единой государственной информационной системы в сфере здравоохран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ния (далее – Единая система).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разработан во исполнение части 2 статьи 91.1 Фед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рального закона от 21 ноября 2011 г. № 323-ФЗ "Об основах охраны здоровья граждан" в редакции Федерального закона от 29 июля 2017 г. № 242-ФЗ "О внесении изменений в отдельные законодательные акты Российской Федер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ции по вопросам применения информационных технологий в сфере охраны здоровья" (далее - Федеральный закон № 242-ФЗ).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разработан во исполнение части 2 статьи 91.1 Фед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рального закона «Об основах охраны здоровья граждан» в целях закрепления правовых основ функционирования Единой  системы, в том числе установл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ния порядка доступа к информации, содержащейся в Единой системе, порядка и сроков представления информации в Единую систему, порядка обмена 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формацией с использованием Единой системы.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Российской Федерации, закрепляющ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правовые основы функционирования Единой  системы, в том числе порядок доступа к информации, содержащейся в Единой системе, порядок и сроки представления информации в Единую систему, порядок обмена информацией с использованием Единой системы.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Мазаева Ирина Васильевна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624-24-00 доб 1814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mazaevaiv@rosminzdrav.ru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/>
      </w:tblPr>
      <w:tblGrid>
        <w:gridCol w:w="866"/>
        <w:gridCol w:w="4907"/>
        <w:gridCol w:w="49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содержит положения, изменяющие ранее предусмо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ренные законодательством Российской Федерации и иными нормативными правовыми актами обязанности, запреты и ограничения для физических и юр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дических лиц в сфере предпринимательской и иной экономической деятельн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сти или способствующие их установлению, и (или) положения, приводящие к увеличению ранее предусмотренных законодательством Российской Федер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ции и иными нормативными правовыми актами расходов физических и юрид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ческих лиц в сфере предпринимательской и иной экономической деятельности - уточняется порядок и сроки исполнения обязанности по предоставлению св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дений в Единую систему, предусмотренной Федеральным законом № 242-ФЗ.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</w:t>
      </w:r>
      <w:r w:rsidRPr="00473026">
        <w:rPr>
          <w:rFonts w:ascii="Times New Roman" w:hAnsi="Times New Roman" w:cs="Times New Roman"/>
          <w:b/>
          <w:sz w:val="28"/>
          <w:szCs w:val="28"/>
        </w:rPr>
        <w:t>е</w:t>
      </w:r>
      <w:r w:rsidRPr="00473026">
        <w:rPr>
          <w:rFonts w:ascii="Times New Roman" w:hAnsi="Times New Roman" w:cs="Times New Roman"/>
          <w:b/>
          <w:sz w:val="28"/>
          <w:szCs w:val="28"/>
        </w:rPr>
        <w:t>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правового регулирования по отдельным вопросам функциониров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ния Единой системы, в том числе в части закрепления порядка доступа к 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формации, содержащейся в ней, порядка и сроков представления информации в Единую систему, порядка обмена информацией с использованием Единой си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темы.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правового о регулирования по отдельным вопросам функционир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 Единой системы вносит неопределенность в части установления порядка ведения Единой системы, а также прав и обязанностей участников информац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онного взаимодействия, в первую очередь поставщиков и пользователей 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формации Единой системы.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ленных на ее решение, а также затраченных ресурсах и достигнутых результ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ленных на ее решение, а также затраченных ресурсах и достигнутых результ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тах решения проблемы: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мониторинг правоприменительной практики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разработан с учетом анализа международного опыта решения аналогичных задач. Так, например, Единая система обеспечивает по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держку принятия управленческих решений и управления ресурсами системы здравоохранения; ведение регистров лиц, страдающих отдельными заболев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ниями; организацию информационного взаимодействия между медицинскими организациями; планирование и проведение консультаций и консилиумов с применением телемедицинских технологий и т.д. При этом по вопросам 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пользования телемедицинских технологий изучен и использован опыт Франции - Декрет от 19.10.2010 г. № 2010-1229 «О телемедицине», Национальная стр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тегия электронного здравоохранения, март 2013 г. По вопросу ведения регис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ров лиц, страдающих социально значимыми (опасными) заболеваниями, изучен опыт Англии - закон «Об общественном здравоохранении и контролю за заб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леваниями», 1984 г., а при проектировании положений в части функционир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вания Единой системы учтен опыт правового регулирования Сербии - закон 2005 года «О здравоохранении» и Чехии - закон 2011 года «О медицинских  услугах  и  условиях их  оказания». В целом изученный международный опыт текущего состояния и правового регулирования создания и развития госуда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ственных информационных систем в сфере здравоохранения, свидетельствует об актуальности исследуемой проблематики и целесообразности правового 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гулирования соответсвующих вопросов.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открытые источники информации, библиотечные фонды, аналитические отч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Закрепление правовых основ функционирования Единой системы с целью обеспечения доступа граждан к услугам в сфере здравоохранения в электронной форме, а также взаимодействия информационных систем в сфере здравоохранения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января 2018 г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разработан во исполнение и в соответствии с полож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ниями Федерального закона от 21 ноября 2011 г. № 323-ФЗ "Об основах охр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ны здоровья граждан" в редакции Федерального закона № 242-ФЗ.  Принятие проекта постановления является одним из ключевых условий реализации Пр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оритетного проекта «Совершенствование процессов организации медицинской помощи на основе внедрения информационных технологий» («Электронное здравоохранение»), паспорт которого утвержден на заседании президиума С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вета при Президенте Российской Федерации по стратегическому развитию и приоритетным проектам от 25 октября 2016 г.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закрепляет правовые основы функционирования Единой  системы, в том числе порядок доступа к информации, содержащейся в ней, п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рядок и сроки представления информации в Единую систему, порядок обмена информацией с использованием Единой системы.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иных способов решения проблемы (с указанием того, каким образом </w:t>
            </w:r>
            <w:r w:rsidRPr="00860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нормативного правового акта обусловлено необходимостью устр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нения пробельности регулирования и выполнения требований Федерального закона от 21 ноября 2011 г. № 323-ФЗ "Об основах охраны здоровья граждан" в редакции Федерального закона № 242-ФЗ.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ванием, оценка количества таких субъектов</w:t>
      </w:r>
    </w:p>
    <w:tbl>
      <w:tblPr>
        <w:tblStyle w:val="a3"/>
        <w:tblW w:w="5000" w:type="pct"/>
        <w:tblLook w:val="04A0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</w:t>
            </w: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Органы, организации государственной, муниципальной и частной систем здравоохранения, являющиеся поставщиками информации в Единую систему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Всего – 11102 Из них:  Медицинские организации государственной формы собственности – 7371; Медицинские организации негосударственной формы собственности – 3342, в том числе медицинские организации частной формы собственности – 3167; Немедицинские организации всех форм собственности, имеющие медицинские подразделения – 383; Прочие организации, имеющие медицинские кадры – 6.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по данным формы федерльного статистического н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блюдения № 1-здрав (Росстат), статистические данные Минздрава России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4"/>
        <w:gridCol w:w="864"/>
        <w:gridCol w:w="1015"/>
        <w:gridCol w:w="1384"/>
        <w:gridCol w:w="58"/>
        <w:gridCol w:w="437"/>
        <w:gridCol w:w="2620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</w:t>
            </w: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-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</w:t>
            </w: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</w:t>
            </w: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Вид издержек 1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Вид издержек 1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-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дин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а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(год 1)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(год N)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/>
      </w:tblPr>
      <w:tblGrid>
        <w:gridCol w:w="3562"/>
        <w:gridCol w:w="3561"/>
        <w:gridCol w:w="3559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нения существующих функций, полномочий, об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562"/>
        <w:gridCol w:w="3561"/>
        <w:gridCol w:w="3559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 органа: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 правовых актов по вопросам создания, ведения и эксплуатации Единой системы, в том числе по следующим вопросам: - утверждение структуры и порядка ведения федеральной интегрированной электронной медицинской карт; - утверждение перечня, порядка ведения и использования нормативно-справочной информации; - утверждение регламентов функционирования компонентов Единой системы; - утверждение порядка регистрации пользователей Единой системы; - утверждение технических стандартов и требований к технологической совместимости Единой системы с внешними информационными системами, требования к стандартам и протоколам обмена документами Единой системы с внешними информационными системами.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рамках осуществения функции по нормативно-правовому регулированию в сфере здравоохранения.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потребует выделения дополнительных средств из бюджетов бюджетной системы Российской Федерации, осуществляется в рамках текущего объема финансирования (включая объемы финансирования, предусмотренные на создание, развитие и эксплуатацию Единой системы).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населения;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образования, научной, научно-технической и инновационной деятельности; Федеральный фонд обязательного медицинского страхования и территориальные фонды обязательного медицинского страхования; Пенсионный фонд Российской Федерации,  Фонд социального страхования Российской Федерации; уполномоченные исполнительные органы государственной власти субъектов Российской Федерации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Являются поставщиками информации в Единую систему, а также пользователями информации, содержащейся в Единой системе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порядке, установленном проектом постановления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потребует выделения дополнительных средств из бюджетов бюджетной системы Российской Федерации, осуществляется в рамках текущего объема финансирования (включая объемы финансирования, предусмотренные на создание, развитие и эксплуатацию Единой системы).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</w:t>
      </w: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жетной системы Российской Федерации</w:t>
      </w:r>
    </w:p>
    <w:tbl>
      <w:tblPr>
        <w:tblStyle w:val="a3"/>
        <w:tblW w:w="5000" w:type="pct"/>
        <w:tblLook w:val="04A0"/>
      </w:tblPr>
      <w:tblGrid>
        <w:gridCol w:w="3658"/>
        <w:gridCol w:w="3514"/>
        <w:gridCol w:w="3510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темы Российской Федер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/>
      </w:tblPr>
      <w:tblGrid>
        <w:gridCol w:w="1131"/>
        <w:gridCol w:w="2466"/>
        <w:gridCol w:w="6879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</w:t>
            </w: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(Орган N)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27"/>
              <w:gridCol w:w="2459"/>
              <w:gridCol w:w="864"/>
              <w:gridCol w:w="2581"/>
              <w:gridCol w:w="3425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федеральный орган исполнительной власти, осуществляющий функции по выработке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реализации государственной политики и нормативно-правовому регулированию в сфере здравоохранения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Создание и ведение Единой системы в период 2017 - 2018 годов потребует 1 445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494,48 тыс. рублей, в том числе: на оказание услуг основной площадки ФЦОД Единой системы - 372 174,44 тыс. рублей; на оказание услуг резервной площадки  ФЦОД Единой системы - 371 970,12 тыс. рублей; на оказание услуг тестовой площадки  ФЦОД Единой системы - 153 124,12 тыс. рублей; на оказание услуг по поддержке прикладных подсистем Единой системы федерального уровня - 281 650,14 тыс. рублей; на оказание услуг по развитию прикладных подсистем -  266 575,66 тыс. рублей.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:rsidR="00A463B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/>
      </w:tblPr>
      <w:tblGrid>
        <w:gridCol w:w="865"/>
        <w:gridCol w:w="6307"/>
        <w:gridCol w:w="3510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финансово-экономическое обоснование к проекту постановления Правительс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держания существующих обязанностей и ограничений, а также порядок орган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зации их исполнения</w:t>
      </w:r>
    </w:p>
    <w:tbl>
      <w:tblPr>
        <w:tblStyle w:val="a3"/>
        <w:tblW w:w="5000" w:type="pct"/>
        <w:tblLook w:val="04A0"/>
      </w:tblPr>
      <w:tblGrid>
        <w:gridCol w:w="3470"/>
        <w:gridCol w:w="3653"/>
        <w:gridCol w:w="3559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ществ, обязанностей, огр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ничений или изменения с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держания существующих 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/>
      </w:tblPr>
      <w:tblGrid>
        <w:gridCol w:w="3436"/>
        <w:gridCol w:w="7143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Органы, организации государственной, муниципальной и частной систем здравоохранения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  <w:gridCol w:w="3523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1. Доступ к сведениям, содержащимся в Единой системе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 порядке, установленном проектом постановления</w:t>
                  </w:r>
                </w:p>
              </w:tc>
            </w:tr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2. Возможность обеспечения взаимодействия информационных систем в сфере здравоохранения, возможность дистанционного взаимодействия медицинских работников, в том числе с использованием телемедицнских технологий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 порядке, установленном проектом постановления</w:t>
                  </w:r>
                </w:p>
              </w:tc>
            </w:tr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3. Обязанность предоставления сведений в Единую систему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 порядке, установленном проектом постановления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/>
      </w:tblPr>
      <w:tblGrid>
        <w:gridCol w:w="3469"/>
        <w:gridCol w:w="3632"/>
        <w:gridCol w:w="3581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нения содержания сущес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вующих обязанностей и о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857"/>
        <w:gridCol w:w="2571"/>
        <w:gridCol w:w="7151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Медицинские организации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37"/>
              <w:gridCol w:w="349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Предоставление сведений в Единую систему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открытые данные, экспертные оценки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</w:t>
      </w:r>
      <w:r w:rsidRPr="00770DF5">
        <w:rPr>
          <w:rFonts w:ascii="Times New Roman" w:hAnsi="Times New Roman" w:cs="Times New Roman"/>
          <w:b/>
          <w:sz w:val="28"/>
          <w:szCs w:val="28"/>
        </w:rPr>
        <w:t>к</w:t>
      </w:r>
      <w:r w:rsidRPr="00770DF5">
        <w:rPr>
          <w:rFonts w:ascii="Times New Roman" w:hAnsi="Times New Roman" w:cs="Times New Roman"/>
          <w:b/>
          <w:sz w:val="28"/>
          <w:szCs w:val="28"/>
        </w:rPr>
        <w:t>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795"/>
        <w:gridCol w:w="4546"/>
        <w:gridCol w:w="5341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</w:t>
            </w: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(N.1)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(N.K)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</w:t>
      </w:r>
      <w:r w:rsidRPr="00891221">
        <w:rPr>
          <w:rFonts w:ascii="Times New Roman" w:hAnsi="Times New Roman" w:cs="Times New Roman"/>
          <w:b/>
          <w:sz w:val="28"/>
          <w:szCs w:val="28"/>
        </w:rPr>
        <w:t>з</w:t>
      </w:r>
      <w:r w:rsidRPr="00891221">
        <w:rPr>
          <w:rFonts w:ascii="Times New Roman" w:hAnsi="Times New Roman" w:cs="Times New Roman"/>
          <w:b/>
          <w:sz w:val="28"/>
          <w:szCs w:val="28"/>
        </w:rPr>
        <w:t>бранного способа достижения целей регулирования</w:t>
      </w:r>
    </w:p>
    <w:tbl>
      <w:tblPr>
        <w:tblStyle w:val="a3"/>
        <w:tblW w:w="5000" w:type="pct"/>
        <w:tblLook w:val="04A0"/>
      </w:tblPr>
      <w:tblGrid>
        <w:gridCol w:w="794"/>
        <w:gridCol w:w="1875"/>
        <w:gridCol w:w="2671"/>
        <w:gridCol w:w="2671"/>
        <w:gridCol w:w="2671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</w:t>
      </w:r>
      <w:r w:rsidRPr="007227A9">
        <w:rPr>
          <w:rFonts w:ascii="Times New Roman" w:hAnsi="Times New Roman" w:cs="Times New Roman"/>
          <w:b/>
          <w:sz w:val="28"/>
          <w:szCs w:val="28"/>
        </w:rPr>
        <w:t>и</w:t>
      </w:r>
      <w:r w:rsidRPr="007227A9">
        <w:rPr>
          <w:rFonts w:ascii="Times New Roman" w:hAnsi="Times New Roman" w:cs="Times New Roman"/>
          <w:b/>
          <w:sz w:val="28"/>
          <w:szCs w:val="28"/>
        </w:rPr>
        <w:t>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/>
      </w:tblPr>
      <w:tblGrid>
        <w:gridCol w:w="894"/>
        <w:gridCol w:w="1476"/>
        <w:gridCol w:w="1992"/>
        <w:gridCol w:w="1773"/>
        <w:gridCol w:w="2211"/>
        <w:gridCol w:w="2336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лей регулиров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 актов Минздрава России, предусмотренных проектом постановления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4-месячный срок с момента принятия постановления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Приняты акты Минздрава России, необходимые для реализации проекта постановления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Дополнительного финансирования не требуется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lastRenderedPageBreak/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о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ды) оценки достижения заявленных целей регулирования</w:t>
      </w:r>
    </w:p>
    <w:tbl>
      <w:tblPr>
        <w:tblStyle w:val="a3"/>
        <w:tblW w:w="5000" w:type="pct"/>
        <w:tblLook w:val="04A0"/>
      </w:tblPr>
      <w:tblGrid>
        <w:gridCol w:w="2670"/>
        <w:gridCol w:w="2564"/>
        <w:gridCol w:w="2884"/>
        <w:gridCol w:w="2564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</w:t>
            </w: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</w:t>
            </w: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2645"/>
        <w:gridCol w:w="7934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Закрепление правовых основ функционирования Единой системы с целью обеспечения доступа граждан к услугам в сфере здравоохранения в электронной форме, а также взаимодействия информационных систем в сфере здравоохранения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535"/>
              <w:gridCol w:w="2843"/>
              <w:gridCol w:w="253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польз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вателей и поставщ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 информации в систему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штуки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статистические да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ные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794"/>
        <w:gridCol w:w="6008"/>
        <w:gridCol w:w="3880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отсуствует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статистическая информация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</w:t>
      </w:r>
      <w:r w:rsidRPr="00BB1753">
        <w:rPr>
          <w:rFonts w:ascii="Times New Roman" w:hAnsi="Times New Roman" w:cs="Times New Roman"/>
          <w:b/>
          <w:sz w:val="28"/>
          <w:szCs w:val="28"/>
        </w:rPr>
        <w:t>а</w:t>
      </w:r>
      <w:r w:rsidRPr="00BB1753">
        <w:rPr>
          <w:rFonts w:ascii="Times New Roman" w:hAnsi="Times New Roman" w:cs="Times New Roman"/>
          <w:b/>
          <w:sz w:val="28"/>
          <w:szCs w:val="28"/>
        </w:rPr>
        <w:t>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/>
      </w:tblPr>
      <w:tblGrid>
        <w:gridCol w:w="792"/>
        <w:gridCol w:w="4405"/>
        <w:gridCol w:w="793"/>
        <w:gridCol w:w="579"/>
        <w:gridCol w:w="4113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января 2018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реходных положений (переходн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</w:t>
      </w:r>
      <w:r w:rsidRPr="006063F9">
        <w:rPr>
          <w:rFonts w:ascii="Times New Roman" w:hAnsi="Times New Roman" w:cs="Times New Roman"/>
          <w:b/>
          <w:sz w:val="28"/>
          <w:szCs w:val="28"/>
        </w:rPr>
        <w:t>в</w:t>
      </w:r>
      <w:r w:rsidRPr="006063F9">
        <w:rPr>
          <w:rFonts w:ascii="Times New Roman" w:hAnsi="Times New Roman" w:cs="Times New Roman"/>
          <w:b/>
          <w:sz w:val="28"/>
          <w:szCs w:val="28"/>
        </w:rPr>
        <w:t>ших их структурных подразделениях разработчика</w:t>
      </w:r>
    </w:p>
    <w:tbl>
      <w:tblPr>
        <w:tblStyle w:val="a3"/>
        <w:tblW w:w="5000" w:type="pct"/>
        <w:tblLook w:val="04A0"/>
      </w:tblPr>
      <w:tblGrid>
        <w:gridCol w:w="792"/>
        <w:gridCol w:w="1810"/>
        <w:gridCol w:w="8080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15.09.2017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12.10.2017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/>
      </w:tblPr>
      <w:tblGrid>
        <w:gridCol w:w="792"/>
        <w:gridCol w:w="7747"/>
        <w:gridCol w:w="2143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[o_18_</w:t>
            </w:r>
            <w:r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</w:t>
      </w:r>
      <w:r w:rsidRPr="001A47DC">
        <w:rPr>
          <w:rFonts w:ascii="Times New Roman" w:hAnsi="Times New Roman" w:cs="Times New Roman"/>
          <w:b/>
          <w:sz w:val="28"/>
          <w:szCs w:val="28"/>
        </w:rPr>
        <w:t>с</w:t>
      </w:r>
      <w:r w:rsidRPr="001A47DC">
        <w:rPr>
          <w:rFonts w:ascii="Times New Roman" w:hAnsi="Times New Roman" w:cs="Times New Roman"/>
          <w:b/>
          <w:sz w:val="28"/>
          <w:szCs w:val="28"/>
        </w:rPr>
        <w:t>нованность предлагаемого регулирования</w:t>
      </w:r>
    </w:p>
    <w:tbl>
      <w:tblPr>
        <w:tblStyle w:val="a3"/>
        <w:tblW w:w="5000" w:type="pct"/>
        <w:tblLook w:val="04A0"/>
      </w:tblPr>
      <w:tblGrid>
        <w:gridCol w:w="793"/>
        <w:gridCol w:w="9889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</w:t>
      </w:r>
      <w:r w:rsidRPr="00317FD7">
        <w:rPr>
          <w:rFonts w:ascii="Times New Roman" w:hAnsi="Times New Roman" w:cs="Times New Roman"/>
          <w:b/>
          <w:sz w:val="28"/>
          <w:szCs w:val="28"/>
        </w:rPr>
        <w:t>о</w:t>
      </w:r>
      <w:r w:rsidRPr="00317FD7">
        <w:rPr>
          <w:rFonts w:ascii="Times New Roman" w:hAnsi="Times New Roman" w:cs="Times New Roman"/>
          <w:b/>
          <w:sz w:val="28"/>
          <w:szCs w:val="28"/>
        </w:rPr>
        <w:t>ведения, федеральных органах исполнительной власти и представителях пре</w:t>
      </w:r>
      <w:r w:rsidRPr="00317FD7">
        <w:rPr>
          <w:rFonts w:ascii="Times New Roman" w:hAnsi="Times New Roman" w:cs="Times New Roman"/>
          <w:b/>
          <w:sz w:val="28"/>
          <w:szCs w:val="28"/>
        </w:rPr>
        <w:t>д</w:t>
      </w:r>
      <w:r w:rsidRPr="00317FD7">
        <w:rPr>
          <w:rFonts w:ascii="Times New Roman" w:hAnsi="Times New Roman" w:cs="Times New Roman"/>
          <w:b/>
          <w:sz w:val="28"/>
          <w:szCs w:val="28"/>
        </w:rPr>
        <w:t>принимательского сообщества, извещенных о проведении публичных консульт</w:t>
      </w:r>
      <w:r w:rsidRPr="00317FD7">
        <w:rPr>
          <w:rFonts w:ascii="Times New Roman" w:hAnsi="Times New Roman" w:cs="Times New Roman"/>
          <w:b/>
          <w:sz w:val="28"/>
          <w:szCs w:val="28"/>
        </w:rPr>
        <w:t>а</w:t>
      </w:r>
      <w:r w:rsidRPr="00317FD7">
        <w:rPr>
          <w:rFonts w:ascii="Times New Roman" w:hAnsi="Times New Roman" w:cs="Times New Roman"/>
          <w:b/>
          <w:sz w:val="28"/>
          <w:szCs w:val="28"/>
        </w:rPr>
        <w:t>ций, а также о лицах, представивших предложения, и рассмотревших их стру</w:t>
      </w:r>
      <w:r w:rsidRPr="00317FD7">
        <w:rPr>
          <w:rFonts w:ascii="Times New Roman" w:hAnsi="Times New Roman" w:cs="Times New Roman"/>
          <w:b/>
          <w:sz w:val="28"/>
          <w:szCs w:val="28"/>
        </w:rPr>
        <w:t>к</w:t>
      </w:r>
      <w:r w:rsidRPr="00317FD7">
        <w:rPr>
          <w:rFonts w:ascii="Times New Roman" w:hAnsi="Times New Roman" w:cs="Times New Roman"/>
          <w:b/>
          <w:sz w:val="28"/>
          <w:szCs w:val="28"/>
        </w:rPr>
        <w:t>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/>
      </w:tblPr>
      <w:tblGrid>
        <w:gridCol w:w="792"/>
        <w:gridCol w:w="1810"/>
        <w:gridCol w:w="8080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 w:rsidR="009F5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</w:t>
            </w: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lastRenderedPageBreak/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5"/>
        <w:gridCol w:w="2606"/>
        <w:gridCol w:w="2431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Е.Л. Бойко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11.09.2017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FE" w:rsidRDefault="00FA2BFE" w:rsidP="00EA7CC1">
      <w:pPr>
        <w:spacing w:after="0" w:line="240" w:lineRule="auto"/>
      </w:pPr>
      <w:r>
        <w:separator/>
      </w:r>
    </w:p>
  </w:endnote>
  <w:endnote w:type="continuationSeparator" w:id="0">
    <w:p w:rsidR="00FA2BFE" w:rsidRDefault="00FA2BFE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FE" w:rsidRDefault="00FA2BFE" w:rsidP="00EA7CC1">
      <w:pPr>
        <w:spacing w:after="0" w:line="240" w:lineRule="auto"/>
      </w:pPr>
      <w:r>
        <w:separator/>
      </w:r>
    </w:p>
  </w:footnote>
  <w:footnote w:type="continuationSeparator" w:id="0">
    <w:p w:rsidR="00FA2BFE" w:rsidRDefault="00FA2BFE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</w:t>
      </w:r>
      <w:r w:rsidRPr="00903A82">
        <w:t>е</w:t>
      </w:r>
      <w:r w:rsidRPr="00903A82">
        <w:t>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</w:t>
      </w:r>
      <w:r w:rsidRPr="00903A82">
        <w:t>е</w:t>
      </w:r>
      <w:r w:rsidRPr="00903A82">
        <w:t>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</w:t>
      </w:r>
      <w:r w:rsidRPr="00622E68">
        <w:rPr>
          <w:rFonts w:cs="Times New Roman"/>
        </w:rPr>
        <w:t>р</w:t>
      </w:r>
      <w:r w:rsidRPr="00622E68">
        <w:rPr>
          <w:rFonts w:cs="Times New Roman"/>
        </w:rPr>
        <w:t>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</w:t>
      </w:r>
      <w:r w:rsidRPr="00232006">
        <w:rPr>
          <w:rFonts w:cs="Times New Roman"/>
        </w:rPr>
        <w:t>о</w:t>
      </w:r>
      <w:r w:rsidRPr="00232006">
        <w:rPr>
          <w:rFonts w:cs="Times New Roman"/>
        </w:rPr>
        <w:t>димой для представления по запросу со стороны органов власти и (или) уполномоченных представителей, иные инфо</w:t>
      </w:r>
      <w:r w:rsidRPr="00232006">
        <w:rPr>
          <w:rFonts w:cs="Times New Roman"/>
        </w:rPr>
        <w:t>р</w:t>
      </w:r>
      <w:r w:rsidRPr="00232006">
        <w:rPr>
          <w:rFonts w:cs="Times New Roman"/>
        </w:rPr>
        <w:t>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</w:t>
      </w:r>
      <w:r>
        <w:t>о</w:t>
      </w:r>
      <w:r>
        <w:t>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8930454"/>
      <w:docPartObj>
        <w:docPartGallery w:val="Page Numbers (Top of Page)"/>
        <w:docPartUnique/>
      </w:docPartObj>
    </w:sdtPr>
    <w:sdtContent>
      <w:p w:rsidR="002D0642" w:rsidRDefault="0041632C">
        <w:pPr>
          <w:pStyle w:val="a5"/>
          <w:jc w:val="center"/>
        </w:pPr>
        <w:r>
          <w:fldChar w:fldCharType="begin"/>
        </w:r>
        <w:r w:rsidR="002D0642">
          <w:instrText>PAGE   \* MERGEFORMAT</w:instrText>
        </w:r>
        <w:r>
          <w:fldChar w:fldCharType="separate"/>
        </w:r>
        <w:r w:rsidR="00967A04">
          <w:rPr>
            <w:noProof/>
          </w:rPr>
          <w:t>1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1632C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67A04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A2BFE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2C"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5A1DDC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A00EB"/>
    <w:rsid w:val="00EE002E"/>
    <w:rsid w:val="00F109B6"/>
    <w:rsid w:val="00F609E1"/>
    <w:rsid w:val="00F86BA7"/>
    <w:rsid w:val="00FA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5482D-5248-456A-A4B7-99802CF2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администратор4</cp:lastModifiedBy>
  <cp:revision>2</cp:revision>
  <dcterms:created xsi:type="dcterms:W3CDTF">2017-09-18T07:36:00Z</dcterms:created>
  <dcterms:modified xsi:type="dcterms:W3CDTF">2017-09-18T07:36:00Z</dcterms:modified>
</cp:coreProperties>
</file>