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0C" w:rsidRPr="0037650C" w:rsidRDefault="0037650C" w:rsidP="0037650C">
      <w:pPr>
        <w:ind w:firstLine="709"/>
        <w:jc w:val="right"/>
        <w:rPr>
          <w:color w:val="000000"/>
          <w:sz w:val="28"/>
          <w:szCs w:val="28"/>
        </w:rPr>
      </w:pPr>
      <w:r w:rsidRPr="0037650C">
        <w:rPr>
          <w:color w:val="000000"/>
          <w:sz w:val="28"/>
          <w:szCs w:val="28"/>
        </w:rPr>
        <w:t>Проект</w:t>
      </w: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left="-426"/>
        <w:jc w:val="center"/>
        <w:rPr>
          <w:b/>
          <w:color w:val="000000"/>
          <w:sz w:val="28"/>
          <w:szCs w:val="28"/>
        </w:rPr>
      </w:pPr>
      <w:r w:rsidRPr="007542F5">
        <w:rPr>
          <w:b/>
          <w:color w:val="000000"/>
          <w:sz w:val="28"/>
          <w:szCs w:val="28"/>
        </w:rPr>
        <w:t xml:space="preserve">Об утверждении </w:t>
      </w:r>
      <w:r w:rsidRPr="007542F5">
        <w:rPr>
          <w:b/>
          <w:color w:val="000000"/>
          <w:sz w:val="28"/>
          <w:szCs w:val="28"/>
        </w:rPr>
        <w:br/>
        <w:t xml:space="preserve">стандарта медицинской помощи взрослым </w:t>
      </w:r>
      <w:r w:rsidRPr="007542F5">
        <w:rPr>
          <w:b/>
          <w:color w:val="000000"/>
          <w:sz w:val="28"/>
          <w:szCs w:val="28"/>
        </w:rPr>
        <w:br/>
        <w:t xml:space="preserve">при </w:t>
      </w:r>
      <w:r>
        <w:rPr>
          <w:b/>
          <w:color w:val="000000"/>
          <w:sz w:val="28"/>
          <w:szCs w:val="28"/>
        </w:rPr>
        <w:t>закрытой травме глаза</w:t>
      </w: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autoSpaceDE w:val="0"/>
        <w:autoSpaceDN w:val="0"/>
        <w:adjustRightInd w:val="0"/>
        <w:spacing w:line="22" w:lineRule="atLeast"/>
        <w:ind w:firstLine="709"/>
        <w:jc w:val="both"/>
        <w:rPr>
          <w:sz w:val="28"/>
          <w:szCs w:val="28"/>
        </w:rPr>
      </w:pPr>
      <w:r w:rsidRPr="007542F5">
        <w:rPr>
          <w:sz w:val="28"/>
          <w:szCs w:val="28"/>
        </w:rPr>
        <w:t>В соответствии с пункто</w:t>
      </w:r>
      <w:r w:rsidRPr="0037650C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4 част</w:t>
      </w:r>
      <w:r w:rsidRPr="0037650C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1 стать</w:t>
      </w:r>
      <w:r w:rsidRPr="0037650C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37 Федерал</w:t>
      </w:r>
      <w:r>
        <w:rPr>
          <w:sz w:val="28"/>
          <w:szCs w:val="28"/>
        </w:rPr>
        <w:t xml:space="preserve">ьного закона </w:t>
      </w:r>
      <w:r>
        <w:rPr>
          <w:sz w:val="28"/>
          <w:szCs w:val="28"/>
        </w:rPr>
        <w:br/>
        <w:t>от 21 ноября 2011 г. № </w:t>
      </w:r>
      <w:r w:rsidRPr="007542F5">
        <w:rPr>
          <w:sz w:val="28"/>
          <w:szCs w:val="28"/>
        </w:rPr>
        <w:t xml:space="preserve">323-ФЗ «Об основах охраны здоровья граждан в Российской Федерации» (Собрание законодательства Российской Федерации, 2011, </w:t>
      </w:r>
      <w:r>
        <w:rPr>
          <w:sz w:val="28"/>
          <w:szCs w:val="28"/>
        </w:rPr>
        <w:t>№ </w:t>
      </w:r>
      <w:r w:rsidRPr="007542F5">
        <w:rPr>
          <w:sz w:val="28"/>
          <w:szCs w:val="28"/>
        </w:rPr>
        <w:t xml:space="preserve">48, </w:t>
      </w:r>
      <w:r w:rsidRPr="007542F5">
        <w:rPr>
          <w:sz w:val="28"/>
          <w:szCs w:val="28"/>
        </w:rPr>
        <w:br/>
      </w:r>
      <w:proofErr w:type="spellStart"/>
      <w:r w:rsidRPr="007542F5">
        <w:rPr>
          <w:sz w:val="28"/>
          <w:szCs w:val="28"/>
        </w:rPr>
        <w:t>ст</w:t>
      </w:r>
      <w:proofErr w:type="spellEnd"/>
      <w:r w:rsidRPr="0037650C">
        <w:rPr>
          <w:sz w:val="28"/>
          <w:szCs w:val="28"/>
        </w:rPr>
        <w:t> </w:t>
      </w:r>
      <w:r w:rsidRPr="007542F5">
        <w:rPr>
          <w:sz w:val="28"/>
          <w:szCs w:val="28"/>
        </w:rPr>
        <w:t xml:space="preserve">6724; </w:t>
      </w:r>
      <w:r>
        <w:rPr>
          <w:sz w:val="28"/>
          <w:szCs w:val="28"/>
        </w:rPr>
        <w:t>2021, № 27, ст. 5159</w:t>
      </w:r>
      <w:r w:rsidRPr="007542F5">
        <w:rPr>
          <w:sz w:val="28"/>
          <w:szCs w:val="28"/>
        </w:rPr>
        <w:t>) и подпунктом 5.2.18 Положения о Министерстве здравоохранения Российской Федерации, утвержденного постановлением Правительства Российской Федерации от 1</w:t>
      </w:r>
      <w:r w:rsidRPr="0037650C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июня 201</w:t>
      </w:r>
      <w:r w:rsidRPr="0037650C">
        <w:rPr>
          <w:sz w:val="28"/>
          <w:szCs w:val="28"/>
        </w:rPr>
        <w:t>2</w:t>
      </w:r>
      <w:r w:rsidRPr="007542F5">
        <w:rPr>
          <w:sz w:val="28"/>
          <w:szCs w:val="28"/>
        </w:rPr>
        <w:t xml:space="preserve">г. </w:t>
      </w:r>
      <w:r w:rsidRPr="0037650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 xml:space="preserve">608 (Собрание законодательства Российской Федерации, 2012, </w:t>
      </w:r>
      <w:r w:rsidRPr="0037650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26, ст</w:t>
      </w:r>
      <w:r w:rsidRPr="0037650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542F5">
        <w:rPr>
          <w:sz w:val="28"/>
          <w:szCs w:val="28"/>
        </w:rPr>
        <w:t>3526),</w:t>
      </w:r>
      <w:r w:rsidRPr="0037650C">
        <w:rPr>
          <w:sz w:val="28"/>
          <w:szCs w:val="28"/>
        </w:rPr>
        <w:t xml:space="preserve"> приказыва</w:t>
      </w:r>
      <w:r w:rsidRPr="007542F5">
        <w:rPr>
          <w:sz w:val="28"/>
          <w:szCs w:val="28"/>
        </w:rPr>
        <w:t>ю:</w:t>
      </w:r>
    </w:p>
    <w:p w:rsidR="0037650C" w:rsidRDefault="0037650C" w:rsidP="001033B1">
      <w:pPr>
        <w:tabs>
          <w:tab w:val="left" w:pos="993"/>
        </w:tabs>
        <w:autoSpaceDE w:val="0"/>
        <w:autoSpaceDN w:val="0"/>
        <w:adjustRightInd w:val="0"/>
        <w:spacing w:line="22" w:lineRule="atLeast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</w:t>
      </w:r>
      <w:r w:rsidRPr="00320F23">
        <w:rPr>
          <w:sz w:val="28"/>
        </w:rPr>
        <w:t xml:space="preserve">стандарт медицинской помощи взрослым </w:t>
      </w:r>
      <w:r w:rsidRPr="00320F23">
        <w:rPr>
          <w:sz w:val="28"/>
          <w:szCs w:val="32"/>
        </w:rPr>
        <w:t xml:space="preserve">при </w:t>
      </w:r>
      <w:r>
        <w:rPr>
          <w:sz w:val="28"/>
          <w:szCs w:val="32"/>
        </w:rPr>
        <w:t xml:space="preserve">закрытой травме глаза </w:t>
      </w:r>
      <w:r>
        <w:rPr>
          <w:sz w:val="28"/>
        </w:rPr>
        <w:t>согласно приложению</w:t>
      </w:r>
      <w:r>
        <w:rPr>
          <w:sz w:val="28"/>
          <w:szCs w:val="28"/>
        </w:rPr>
        <w:t>.</w:t>
      </w:r>
    </w:p>
    <w:p w:rsidR="00DB1C41" w:rsidRDefault="0037650C" w:rsidP="001033B1">
      <w:pPr>
        <w:tabs>
          <w:tab w:val="left" w:pos="993"/>
        </w:tabs>
        <w:autoSpaceDE w:val="0"/>
        <w:autoSpaceDN w:val="0"/>
        <w:adjustRightInd w:val="0"/>
        <w:spacing w:line="22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</w:t>
      </w:r>
      <w:r w:rsidR="00DB1C4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B1C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7650C" w:rsidRDefault="0037650C" w:rsidP="001033B1">
      <w:pPr>
        <w:tabs>
          <w:tab w:val="left" w:pos="993"/>
        </w:tabs>
        <w:autoSpaceDE w:val="0"/>
        <w:autoSpaceDN w:val="0"/>
        <w:adjustRightInd w:val="0"/>
        <w:spacing w:line="22" w:lineRule="atLeast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 w:rsidR="00DB1C41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</w:t>
      </w:r>
      <w:r w:rsidR="00DB1C41">
        <w:rPr>
          <w:sz w:val="28"/>
          <w:szCs w:val="28"/>
        </w:rPr>
        <w:t>493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первичной медико-санитарной</w:t>
      </w:r>
      <w:r w:rsidRPr="00B633B6">
        <w:rPr>
          <w:sz w:val="28"/>
          <w:szCs w:val="28"/>
        </w:rPr>
        <w:t xml:space="preserve"> помощи при </w:t>
      </w:r>
      <w:r w:rsidR="00DB1C41">
        <w:rPr>
          <w:sz w:val="28"/>
          <w:szCs w:val="28"/>
        </w:rPr>
        <w:t xml:space="preserve">закрытой травме глазного яблока </w:t>
      </w:r>
      <w:r w:rsidR="00DB1C41">
        <w:rPr>
          <w:sz w:val="28"/>
          <w:szCs w:val="28"/>
          <w:lang w:val="en-US"/>
        </w:rPr>
        <w:t>I</w:t>
      </w:r>
      <w:r w:rsidR="00DB1C41">
        <w:rPr>
          <w:sz w:val="28"/>
          <w:szCs w:val="28"/>
        </w:rPr>
        <w:t xml:space="preserve"> степени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A2227A">
        <w:rPr>
          <w:sz w:val="28"/>
          <w:szCs w:val="28"/>
        </w:rPr>
        <w:t>14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2013 г., регистрационный № 27</w:t>
      </w:r>
      <w:r w:rsidR="00A2227A">
        <w:rPr>
          <w:sz w:val="28"/>
          <w:szCs w:val="28"/>
        </w:rPr>
        <w:t>686</w:t>
      </w:r>
      <w:r w:rsidRPr="00B633B6">
        <w:rPr>
          <w:sz w:val="28"/>
          <w:szCs w:val="28"/>
        </w:rPr>
        <w:t>)</w:t>
      </w:r>
      <w:r w:rsidR="00A2227A">
        <w:rPr>
          <w:sz w:val="28"/>
          <w:szCs w:val="28"/>
        </w:rPr>
        <w:t>;</w:t>
      </w:r>
    </w:p>
    <w:p w:rsidR="00A2227A" w:rsidRDefault="00A2227A" w:rsidP="001033B1">
      <w:pPr>
        <w:tabs>
          <w:tab w:val="left" w:pos="993"/>
        </w:tabs>
        <w:autoSpaceDE w:val="0"/>
        <w:autoSpaceDN w:val="0"/>
        <w:adjustRightInd w:val="0"/>
        <w:spacing w:line="22" w:lineRule="atLeast"/>
        <w:ind w:firstLine="709"/>
        <w:contextualSpacing/>
        <w:jc w:val="both"/>
        <w:rPr>
          <w:sz w:val="28"/>
          <w:szCs w:val="28"/>
        </w:rPr>
      </w:pPr>
      <w:r w:rsidRPr="00B633B6">
        <w:rPr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sz w:val="28"/>
          <w:szCs w:val="28"/>
        </w:rPr>
        <w:t>28 декабря</w:t>
      </w:r>
      <w:r w:rsidRPr="00B633B6">
        <w:rPr>
          <w:sz w:val="28"/>
          <w:szCs w:val="28"/>
        </w:rPr>
        <w:t xml:space="preserve"> 2012 г. № </w:t>
      </w:r>
      <w:r>
        <w:rPr>
          <w:sz w:val="28"/>
          <w:szCs w:val="28"/>
        </w:rPr>
        <w:t>1578</w:t>
      </w:r>
      <w:r w:rsidRPr="00B633B6">
        <w:rPr>
          <w:sz w:val="28"/>
          <w:szCs w:val="28"/>
        </w:rPr>
        <w:t xml:space="preserve">н «Об утверждении стандарта </w:t>
      </w:r>
      <w:r>
        <w:rPr>
          <w:sz w:val="28"/>
          <w:szCs w:val="28"/>
        </w:rPr>
        <w:t>специализированной медицинской помощи при контузии (закрытой травме) глазного яблока и орбиты</w:t>
      </w:r>
      <w:r w:rsidRPr="00B633B6">
        <w:rPr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sz w:val="28"/>
          <w:szCs w:val="28"/>
        </w:rPr>
        <w:t>20</w:t>
      </w:r>
      <w:r w:rsidRPr="00B633B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2013 г., регистрационный № 27222</w:t>
      </w:r>
      <w:r w:rsidRPr="00B633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650C" w:rsidRPr="007542F5" w:rsidRDefault="0037650C" w:rsidP="0037650C">
      <w:pPr>
        <w:spacing w:line="22" w:lineRule="atLeast"/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p w:rsidR="0037650C" w:rsidRPr="007542F5" w:rsidRDefault="0037650C" w:rsidP="003765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37650C" w:rsidRPr="007542F5" w:rsidTr="00A243BA">
        <w:trPr>
          <w:jc w:val="center"/>
        </w:trPr>
        <w:tc>
          <w:tcPr>
            <w:tcW w:w="5174" w:type="dxa"/>
            <w:shd w:val="clear" w:color="auto" w:fill="auto"/>
          </w:tcPr>
          <w:p w:rsidR="0037650C" w:rsidRPr="007542F5" w:rsidRDefault="0037650C" w:rsidP="00A243BA">
            <w:pPr>
              <w:rPr>
                <w:color w:val="000000"/>
                <w:sz w:val="28"/>
                <w:szCs w:val="28"/>
              </w:rPr>
            </w:pPr>
            <w:r w:rsidRPr="007542F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37650C" w:rsidRPr="007542F5" w:rsidRDefault="0037650C" w:rsidP="00A243BA">
            <w:pPr>
              <w:jc w:val="right"/>
              <w:rPr>
                <w:color w:val="000000"/>
                <w:sz w:val="28"/>
                <w:szCs w:val="28"/>
              </w:rPr>
            </w:pPr>
            <w:r w:rsidRPr="007542F5">
              <w:rPr>
                <w:color w:val="000000"/>
                <w:sz w:val="28"/>
                <w:szCs w:val="28"/>
              </w:rPr>
              <w:t>М.А. Мурашко</w:t>
            </w:r>
          </w:p>
        </w:tc>
      </w:tr>
    </w:tbl>
    <w:p w:rsidR="0037650C" w:rsidRDefault="0037650C" w:rsidP="0037650C">
      <w:pPr>
        <w:tabs>
          <w:tab w:val="right" w:pos="10773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  <w:sectPr w:rsidR="0037650C" w:rsidSect="00846201">
          <w:footerReference w:type="default" r:id="rId8"/>
          <w:footnotePr>
            <w:numRestart w:val="eachSect"/>
          </w:footnotePr>
          <w:endnotePr>
            <w:numFmt w:val="decimal"/>
          </w:endnotePr>
          <w:pgSz w:w="11906" w:h="16838"/>
          <w:pgMar w:top="850" w:right="567" w:bottom="1701" w:left="1134" w:header="709" w:footer="595" w:gutter="0"/>
          <w:pgNumType w:start="1"/>
          <w:cols w:space="708"/>
          <w:titlePg/>
          <w:docGrid w:linePitch="360"/>
        </w:sectPr>
      </w:pPr>
    </w:p>
    <w:p w:rsidR="0037650C" w:rsidRDefault="0037650C" w:rsidP="0037650C">
      <w:pPr>
        <w:tabs>
          <w:tab w:val="right" w:pos="10773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7650C" w:rsidRDefault="0037650C" w:rsidP="0037650C">
      <w:pPr>
        <w:tabs>
          <w:tab w:val="right" w:pos="10773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7650C" w:rsidRDefault="0037650C" w:rsidP="0037650C">
      <w:pPr>
        <w:tabs>
          <w:tab w:val="right" w:pos="10773"/>
        </w:tabs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CA1D3A">
        <w:rPr>
          <w:sz w:val="28"/>
          <w:szCs w:val="28"/>
        </w:rPr>
        <w:t xml:space="preserve">Приложение </w:t>
      </w:r>
    </w:p>
    <w:p w:rsidR="0037650C" w:rsidRPr="007542F5" w:rsidRDefault="0037650C" w:rsidP="0037650C">
      <w:pPr>
        <w:tabs>
          <w:tab w:val="right" w:pos="10773"/>
        </w:tabs>
        <w:autoSpaceDE w:val="0"/>
        <w:autoSpaceDN w:val="0"/>
        <w:adjustRightInd w:val="0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</w:r>
      <w:r w:rsidRPr="007542F5">
        <w:rPr>
          <w:sz w:val="28"/>
          <w:szCs w:val="28"/>
        </w:rPr>
        <w:t>от «___» _____________ 2021 г. № ____</w:t>
      </w:r>
    </w:p>
    <w:p w:rsidR="0037650C" w:rsidRDefault="0037650C" w:rsidP="0037650C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7650C" w:rsidRPr="00FF4E91" w:rsidRDefault="0037650C" w:rsidP="0037650C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7650C" w:rsidRPr="008C6600" w:rsidRDefault="0037650C" w:rsidP="0037650C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8C6600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37650C" w:rsidRPr="008C6600" w:rsidRDefault="0037650C" w:rsidP="0037650C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8C6600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закрытой травме глаза </w:t>
      </w:r>
    </w:p>
    <w:p w:rsidR="0037650C" w:rsidRPr="008C6600" w:rsidRDefault="0037650C" w:rsidP="0037650C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7650C" w:rsidRPr="008C6600" w:rsidRDefault="0037650C" w:rsidP="0037650C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8C6600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8C6600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8C6600">
        <w:rPr>
          <w:b/>
          <w:sz w:val="28"/>
          <w:szCs w:val="20"/>
        </w:rPr>
        <w:t>:</w:t>
      </w:r>
      <w:r w:rsidRPr="008C6600">
        <w:rPr>
          <w:sz w:val="28"/>
          <w:szCs w:val="20"/>
        </w:rPr>
        <w:t xml:space="preserve"> взрослые</w:t>
      </w:r>
    </w:p>
    <w:p w:rsidR="0037650C" w:rsidRPr="008C6600" w:rsidRDefault="0037650C" w:rsidP="0037650C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8C6600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8C6600">
        <w:rPr>
          <w:b/>
          <w:sz w:val="28"/>
          <w:szCs w:val="20"/>
        </w:rPr>
        <w:t>:</w:t>
      </w:r>
      <w:r w:rsidRPr="008C6600">
        <w:rPr>
          <w:sz w:val="28"/>
          <w:szCs w:val="20"/>
        </w:rPr>
        <w:t xml:space="preserve"> любой</w:t>
      </w:r>
    </w:p>
    <w:p w:rsidR="0037650C" w:rsidRPr="008C6600" w:rsidRDefault="0037650C" w:rsidP="0037650C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8C6600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8C6600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8C6600">
        <w:rPr>
          <w:b/>
          <w:sz w:val="28"/>
          <w:szCs w:val="20"/>
        </w:rPr>
        <w:t>:</w:t>
      </w:r>
      <w:r w:rsidRPr="008C6600">
        <w:rPr>
          <w:sz w:val="28"/>
          <w:szCs w:val="20"/>
        </w:rPr>
        <w:t xml:space="preserve"> специализированная медицинская помощь, первичная медико-санитарная помощь</w:t>
      </w:r>
    </w:p>
    <w:p w:rsidR="0037650C" w:rsidRPr="00FE485C" w:rsidRDefault="0037650C" w:rsidP="0037650C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стационарно, амбулаторно</w:t>
      </w:r>
    </w:p>
    <w:p w:rsidR="0037650C" w:rsidRPr="00FE485C" w:rsidRDefault="0037650C" w:rsidP="0037650C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плановая, неотложная</w:t>
      </w:r>
    </w:p>
    <w:p w:rsidR="0037650C" w:rsidRPr="00FE485C" w:rsidRDefault="0037650C" w:rsidP="0037650C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37650C" w:rsidRPr="00FE485C" w:rsidRDefault="0037650C" w:rsidP="0037650C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37650C" w:rsidRPr="008C6600" w:rsidRDefault="0037650C" w:rsidP="0037650C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8C6600">
        <w:rPr>
          <w:b/>
          <w:sz w:val="28"/>
          <w:szCs w:val="28"/>
        </w:rPr>
        <w:t>:</w:t>
      </w:r>
      <w:r w:rsidRPr="008C6600">
        <w:rPr>
          <w:sz w:val="28"/>
          <w:szCs w:val="28"/>
        </w:rPr>
        <w:t xml:space="preserve"> </w:t>
      </w:r>
      <w:r w:rsidRPr="008C6600">
        <w:rPr>
          <w:sz w:val="28"/>
          <w:szCs w:val="20"/>
        </w:rPr>
        <w:t>вне зависимости</w:t>
      </w:r>
    </w:p>
    <w:p w:rsidR="0037650C" w:rsidRPr="00FE485C" w:rsidRDefault="0037650C" w:rsidP="0037650C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147</w:t>
      </w:r>
    </w:p>
    <w:p w:rsidR="0037650C" w:rsidRPr="00436399" w:rsidRDefault="0037650C" w:rsidP="0037650C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37650C" w:rsidRPr="008C6600" w:rsidRDefault="0037650C" w:rsidP="0037650C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S</w:t>
      </w:r>
      <w:r w:rsidRPr="008C6600">
        <w:rPr>
          <w:sz w:val="28"/>
          <w:szCs w:val="20"/>
        </w:rPr>
        <w:t>04.0</w:t>
      </w:r>
      <w:r w:rsidRPr="008C6600">
        <w:rPr>
          <w:sz w:val="28"/>
          <w:szCs w:val="20"/>
        </w:rPr>
        <w:tab/>
        <w:t>Травма зрительного нерва и зрительных проводящих путей</w:t>
      </w:r>
    </w:p>
    <w:p w:rsidR="0037650C" w:rsidRPr="008C6600" w:rsidRDefault="0037650C" w:rsidP="0037650C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S</w:t>
      </w:r>
      <w:r w:rsidRPr="008C6600">
        <w:rPr>
          <w:sz w:val="28"/>
          <w:szCs w:val="20"/>
        </w:rPr>
        <w:t>05.0</w:t>
      </w:r>
      <w:r w:rsidRPr="008C6600">
        <w:rPr>
          <w:sz w:val="28"/>
          <w:szCs w:val="20"/>
        </w:rPr>
        <w:tab/>
        <w:t>Травма конъюнктивы и ссадина роговицы без упоминания об инородном теле</w:t>
      </w:r>
    </w:p>
    <w:p w:rsidR="0037650C" w:rsidRPr="008C6600" w:rsidRDefault="0037650C" w:rsidP="0037650C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S</w:t>
      </w:r>
      <w:r w:rsidRPr="008C6600">
        <w:rPr>
          <w:sz w:val="28"/>
          <w:szCs w:val="20"/>
        </w:rPr>
        <w:t>05.1</w:t>
      </w:r>
      <w:r w:rsidRPr="008C6600">
        <w:rPr>
          <w:sz w:val="28"/>
          <w:szCs w:val="20"/>
        </w:rPr>
        <w:tab/>
        <w:t>Ушиб глазного яблока и тканей глазницы</w:t>
      </w:r>
    </w:p>
    <w:p w:rsidR="0037650C" w:rsidRPr="008C6600" w:rsidRDefault="0037650C" w:rsidP="0037650C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S</w:t>
      </w:r>
      <w:r w:rsidRPr="008C6600">
        <w:rPr>
          <w:sz w:val="28"/>
          <w:szCs w:val="20"/>
        </w:rPr>
        <w:t>05.8</w:t>
      </w:r>
      <w:r w:rsidRPr="008C6600">
        <w:rPr>
          <w:sz w:val="28"/>
          <w:szCs w:val="20"/>
        </w:rPr>
        <w:tab/>
        <w:t>Другие травмы глаза и орбиты</w:t>
      </w:r>
    </w:p>
    <w:p w:rsidR="0037650C" w:rsidRPr="008C6600" w:rsidRDefault="0037650C" w:rsidP="0037650C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37650C" w:rsidRPr="002E7AB5" w:rsidRDefault="0037650C" w:rsidP="0037650C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7650C" w:rsidRPr="00FF4E91" w:rsidTr="00A243BA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7650C" w:rsidRPr="00FF4E91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7650C" w:rsidRPr="00DF75B8" w:rsidRDefault="0037650C" w:rsidP="00A243B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796F97" w:rsidRDefault="0037650C" w:rsidP="00A243B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7650C" w:rsidRPr="001D047D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DF75B8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650C" w:rsidRPr="00E45FD2" w:rsidRDefault="0037650C" w:rsidP="0037650C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37650C" w:rsidRPr="00FF4E91" w:rsidTr="00A243BA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7650C" w:rsidRPr="008F73F7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37650C" w:rsidRPr="006F579A" w:rsidRDefault="0037650C" w:rsidP="00A243B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6F579A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Периметрия статическая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A02.26.015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Офтальмотонометрия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A03.26.018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Биомикроскопия</w:t>
            </w:r>
            <w:proofErr w:type="spellEnd"/>
            <w:r>
              <w:rPr>
                <w:sz w:val="28"/>
                <w:szCs w:val="28"/>
              </w:rPr>
              <w:t xml:space="preserve"> глазного дна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A03.26.019.001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Оптическое исследование переднего отдела глаза с помощью компьютерного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A04.26.007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сканирование переднего отдела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Электроретинография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зрительных вызванных потенциалов коры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электрической чувствительности и лабильности зрительного анализатора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7650C" w:rsidRPr="00A44DE7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глазницы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650C" w:rsidRPr="00C936D9" w:rsidRDefault="0037650C" w:rsidP="0037650C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7650C" w:rsidRPr="00FF4E91" w:rsidTr="00A243B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7650C" w:rsidRPr="008F73F7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7650C" w:rsidRPr="006001EC" w:rsidRDefault="0037650C" w:rsidP="00A243B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врачом-офтальмологом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7650C" w:rsidRPr="009A33AC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врача-офтальмолога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7650C" w:rsidRDefault="0037650C" w:rsidP="0037650C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7650C" w:rsidRPr="0074080D" w:rsidTr="00A243B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7650C" w:rsidRPr="008F5B99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7650C" w:rsidRPr="006001EC" w:rsidRDefault="0037650C" w:rsidP="00A243B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A02.26.015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Офтальмотонометрия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глазного яблока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650C" w:rsidRDefault="0037650C" w:rsidP="0037650C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7650C" w:rsidRPr="00FF4E91" w:rsidTr="00A243B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7650C" w:rsidRPr="008F73F7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7650C" w:rsidRPr="006001EC" w:rsidRDefault="0037650C" w:rsidP="00A243B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A16.26.051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инородного тела роговицы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A16.26.052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Ушивание</w:t>
            </w:r>
            <w:proofErr w:type="spellEnd"/>
            <w:r>
              <w:rPr>
                <w:sz w:val="28"/>
                <w:szCs w:val="28"/>
              </w:rPr>
              <w:t xml:space="preserve"> раны роговицы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A16.26.054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Парацентез</w:t>
            </w:r>
            <w:proofErr w:type="spellEnd"/>
            <w:r>
              <w:rPr>
                <w:sz w:val="28"/>
                <w:szCs w:val="28"/>
              </w:rPr>
              <w:t>, пункция передней камеры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A16.26.062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Иридопластика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A16.26.073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Склерэктомия</w:t>
            </w:r>
            <w:proofErr w:type="spellEnd"/>
            <w:r>
              <w:rPr>
                <w:sz w:val="28"/>
                <w:szCs w:val="28"/>
              </w:rPr>
              <w:t>, трепанация склеры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A16.26.077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инородного тела из склеры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A16.26.086.001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Интравитреальное</w:t>
            </w:r>
            <w:proofErr w:type="spellEnd"/>
            <w:r>
              <w:rPr>
                <w:sz w:val="28"/>
                <w:szCs w:val="28"/>
              </w:rPr>
              <w:t xml:space="preserve">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A16.26.089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Витреоэктомия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A16.26.092.002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вывихнутого хрусталика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A16.26.092.005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Ленсэктомия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A16.26.093.002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Факоэмульсификация</w:t>
            </w:r>
            <w:proofErr w:type="spellEnd"/>
            <w:r>
              <w:rPr>
                <w:sz w:val="28"/>
                <w:szCs w:val="28"/>
              </w:rPr>
              <w:t xml:space="preserve"> с имплантацией интраокулярной линзы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A16.26.094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Имплантация интраокулярной линзы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8F5B99" w:rsidTr="00A243B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7650C" w:rsidRPr="006001EC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A16.26.125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7650C" w:rsidRPr="006E606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Подшивание цилиарного тела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7650C" w:rsidRPr="006E6060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7650C" w:rsidRPr="008D13CE" w:rsidRDefault="0037650C" w:rsidP="0037650C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37650C" w:rsidRPr="00FF4E91" w:rsidTr="00A243BA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796F97" w:rsidRDefault="0037650C" w:rsidP="00A243B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796F97" w:rsidRDefault="0037650C" w:rsidP="00A243BA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B01AD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ферментные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Проурокиназа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тыс.МЕ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Проурокиназа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H02AB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J06AA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Иммунные сыворотки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Антитоксин 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тыс.МЕ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S01AA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Антибиотики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S01AE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S01BA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S01BC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Бромфенак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S01EC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карбоангидразы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Бринзоламид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S01ED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Бета-адреноблокаторы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S01XA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 для лечения заболеваний глаз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Метилэтилпиридинол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S03AA</w:t>
            </w: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</w:p>
        </w:tc>
      </w:tr>
      <w:tr w:rsidR="0037650C" w:rsidRPr="00FF4E91" w:rsidTr="00A243BA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37650C" w:rsidRPr="00102F90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650C" w:rsidRPr="008F29C4" w:rsidRDefault="0037650C" w:rsidP="00A24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7650C" w:rsidRPr="008F29C4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</w:tbl>
    <w:p w:rsidR="0037650C" w:rsidRDefault="0037650C" w:rsidP="0037650C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37650C" w:rsidRPr="0074080D" w:rsidTr="00A243BA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37650C" w:rsidRPr="001E62B5" w:rsidRDefault="0037650C" w:rsidP="0037650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37650C" w:rsidRPr="00FF4E91" w:rsidTr="00A243BA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0C" w:rsidRPr="00FF4E91" w:rsidRDefault="0037650C" w:rsidP="00A243B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37650C" w:rsidRPr="001F05E6" w:rsidTr="00A243BA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0C" w:rsidRPr="001F05E6" w:rsidRDefault="0037650C" w:rsidP="00A24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0C" w:rsidRPr="001F05E6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50C" w:rsidRPr="001F05E6" w:rsidRDefault="0037650C" w:rsidP="00A24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37650C" w:rsidRPr="00A54A39" w:rsidRDefault="0037650C" w:rsidP="0037650C">
      <w:pPr>
        <w:widowControl w:val="0"/>
        <w:autoSpaceDE w:val="0"/>
        <w:autoSpaceDN w:val="0"/>
        <w:spacing w:line="360" w:lineRule="auto"/>
        <w:jc w:val="both"/>
      </w:pPr>
    </w:p>
    <w:p w:rsidR="0037650C" w:rsidRPr="00436399" w:rsidRDefault="0037650C" w:rsidP="0037650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37650C" w:rsidRDefault="0037650C" w:rsidP="0037650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" w:name="P1983"/>
      <w:bookmarkEnd w:id="1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</w:t>
      </w:r>
      <w:r w:rsidR="00156293">
        <w:rPr>
          <w:sz w:val="20"/>
          <w:szCs w:val="20"/>
        </w:rPr>
        <w:t xml:space="preserve"> </w:t>
      </w:r>
      <w:bookmarkStart w:id="2" w:name="_GoBack"/>
      <w:bookmarkEnd w:id="2"/>
      <w:r>
        <w:rPr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37650C" w:rsidRPr="00436399" w:rsidRDefault="0037650C" w:rsidP="0037650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37650C" w:rsidRPr="00436399" w:rsidRDefault="0037650C" w:rsidP="0037650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37650C" w:rsidRDefault="0037650C" w:rsidP="0037650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  <w:r w:rsidRPr="00AB5858">
        <w:rPr>
          <w:sz w:val="20"/>
          <w:szCs w:val="20"/>
        </w:rPr>
        <w:t xml:space="preserve"> </w:t>
      </w:r>
    </w:p>
    <w:sectPr w:rsidR="0037650C" w:rsidSect="00156293">
      <w:footerReference w:type="default" r:id="rId9"/>
      <w:footnotePr>
        <w:numRestart w:val="eachSect"/>
      </w:footnotePr>
      <w:pgSz w:w="16838" w:h="11906" w:orient="landscape"/>
      <w:pgMar w:top="1134" w:right="850" w:bottom="567" w:left="1701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8B" w:rsidRDefault="00345D8B" w:rsidP="00C9117D">
      <w:r>
        <w:separator/>
      </w:r>
    </w:p>
  </w:endnote>
  <w:endnote w:type="continuationSeparator" w:id="0">
    <w:p w:rsidR="00345D8B" w:rsidRDefault="00345D8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0C" w:rsidRPr="002001E0" w:rsidRDefault="0037650C" w:rsidP="002001E0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0C" w:rsidRPr="002001E0" w:rsidRDefault="0037650C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8B" w:rsidRDefault="00345D8B" w:rsidP="00C9117D">
      <w:r>
        <w:separator/>
      </w:r>
    </w:p>
  </w:footnote>
  <w:footnote w:type="continuationSeparator" w:id="0">
    <w:p w:rsidR="00345D8B" w:rsidRDefault="00345D8B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C16"/>
    <w:multiLevelType w:val="hybridMultilevel"/>
    <w:tmpl w:val="6DBA01F8"/>
    <w:lvl w:ilvl="0" w:tplc="76F64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D3000F"/>
    <w:multiLevelType w:val="hybridMultilevel"/>
    <w:tmpl w:val="DA6A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C1EC6"/>
    <w:rsid w:val="00016E10"/>
    <w:rsid w:val="00027FF0"/>
    <w:rsid w:val="000429FE"/>
    <w:rsid w:val="000546F6"/>
    <w:rsid w:val="00071040"/>
    <w:rsid w:val="00091583"/>
    <w:rsid w:val="00095B77"/>
    <w:rsid w:val="00097513"/>
    <w:rsid w:val="000B0C94"/>
    <w:rsid w:val="000C4F8F"/>
    <w:rsid w:val="000E48EA"/>
    <w:rsid w:val="000F0FA2"/>
    <w:rsid w:val="000F79A7"/>
    <w:rsid w:val="001033B1"/>
    <w:rsid w:val="00111AEF"/>
    <w:rsid w:val="00113542"/>
    <w:rsid w:val="00122A5B"/>
    <w:rsid w:val="00123166"/>
    <w:rsid w:val="00135A29"/>
    <w:rsid w:val="00141677"/>
    <w:rsid w:val="00143DAE"/>
    <w:rsid w:val="00151443"/>
    <w:rsid w:val="00156293"/>
    <w:rsid w:val="00162D58"/>
    <w:rsid w:val="00167E5A"/>
    <w:rsid w:val="001707AB"/>
    <w:rsid w:val="001D623A"/>
    <w:rsid w:val="001F43D4"/>
    <w:rsid w:val="0021638D"/>
    <w:rsid w:val="00225877"/>
    <w:rsid w:val="002362CD"/>
    <w:rsid w:val="00254295"/>
    <w:rsid w:val="0025782F"/>
    <w:rsid w:val="00262987"/>
    <w:rsid w:val="00285052"/>
    <w:rsid w:val="00295E61"/>
    <w:rsid w:val="00296EAA"/>
    <w:rsid w:val="002D358C"/>
    <w:rsid w:val="002D6210"/>
    <w:rsid w:val="002D7EF0"/>
    <w:rsid w:val="002E1BD1"/>
    <w:rsid w:val="00300F69"/>
    <w:rsid w:val="00332A74"/>
    <w:rsid w:val="00345D8B"/>
    <w:rsid w:val="00354042"/>
    <w:rsid w:val="0037650C"/>
    <w:rsid w:val="00383BC9"/>
    <w:rsid w:val="0038631F"/>
    <w:rsid w:val="00392BDC"/>
    <w:rsid w:val="003A2C3D"/>
    <w:rsid w:val="003A3802"/>
    <w:rsid w:val="003B76B3"/>
    <w:rsid w:val="003F5E2F"/>
    <w:rsid w:val="00400ED6"/>
    <w:rsid w:val="00412CC2"/>
    <w:rsid w:val="00414627"/>
    <w:rsid w:val="00415051"/>
    <w:rsid w:val="00440CC0"/>
    <w:rsid w:val="00444286"/>
    <w:rsid w:val="004C60E0"/>
    <w:rsid w:val="004E2DC2"/>
    <w:rsid w:val="004F1079"/>
    <w:rsid w:val="004F3450"/>
    <w:rsid w:val="00500ACE"/>
    <w:rsid w:val="005020FB"/>
    <w:rsid w:val="00505298"/>
    <w:rsid w:val="005137E7"/>
    <w:rsid w:val="005159A7"/>
    <w:rsid w:val="00523B41"/>
    <w:rsid w:val="00525AE0"/>
    <w:rsid w:val="005270AD"/>
    <w:rsid w:val="00534833"/>
    <w:rsid w:val="005375CA"/>
    <w:rsid w:val="00547C86"/>
    <w:rsid w:val="00555C07"/>
    <w:rsid w:val="00562D95"/>
    <w:rsid w:val="00567ADD"/>
    <w:rsid w:val="005712C6"/>
    <w:rsid w:val="005B4BBC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925CA"/>
    <w:rsid w:val="006B51B2"/>
    <w:rsid w:val="006D096E"/>
    <w:rsid w:val="006D2968"/>
    <w:rsid w:val="006D4EAB"/>
    <w:rsid w:val="006E2624"/>
    <w:rsid w:val="006E28F8"/>
    <w:rsid w:val="006E64C6"/>
    <w:rsid w:val="00704CB4"/>
    <w:rsid w:val="00727A18"/>
    <w:rsid w:val="00731449"/>
    <w:rsid w:val="00747B92"/>
    <w:rsid w:val="00756321"/>
    <w:rsid w:val="007679F8"/>
    <w:rsid w:val="00783514"/>
    <w:rsid w:val="007A1EB6"/>
    <w:rsid w:val="007A71CB"/>
    <w:rsid w:val="007B56D9"/>
    <w:rsid w:val="007C09F6"/>
    <w:rsid w:val="007C1BE1"/>
    <w:rsid w:val="007D3FEC"/>
    <w:rsid w:val="007E22C5"/>
    <w:rsid w:val="008160CC"/>
    <w:rsid w:val="00827173"/>
    <w:rsid w:val="00831CFC"/>
    <w:rsid w:val="00833214"/>
    <w:rsid w:val="008453AE"/>
    <w:rsid w:val="00846201"/>
    <w:rsid w:val="00846A91"/>
    <w:rsid w:val="00851E51"/>
    <w:rsid w:val="00890CD2"/>
    <w:rsid w:val="008A5136"/>
    <w:rsid w:val="008B3896"/>
    <w:rsid w:val="008B734E"/>
    <w:rsid w:val="00980F8B"/>
    <w:rsid w:val="009824FB"/>
    <w:rsid w:val="00994519"/>
    <w:rsid w:val="009949CC"/>
    <w:rsid w:val="009E01D6"/>
    <w:rsid w:val="009E69BB"/>
    <w:rsid w:val="009F278F"/>
    <w:rsid w:val="00A071CA"/>
    <w:rsid w:val="00A2227A"/>
    <w:rsid w:val="00A26AB6"/>
    <w:rsid w:val="00A42D0A"/>
    <w:rsid w:val="00A51FDE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2C05"/>
    <w:rsid w:val="00B045F9"/>
    <w:rsid w:val="00B0650F"/>
    <w:rsid w:val="00B15AF5"/>
    <w:rsid w:val="00B25C18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25F12"/>
    <w:rsid w:val="00C358D9"/>
    <w:rsid w:val="00C52F37"/>
    <w:rsid w:val="00C676D3"/>
    <w:rsid w:val="00C70214"/>
    <w:rsid w:val="00C77906"/>
    <w:rsid w:val="00C801AE"/>
    <w:rsid w:val="00C81908"/>
    <w:rsid w:val="00C9117D"/>
    <w:rsid w:val="00C960F8"/>
    <w:rsid w:val="00CA0C8A"/>
    <w:rsid w:val="00CB2BC8"/>
    <w:rsid w:val="00CD4983"/>
    <w:rsid w:val="00CF02F6"/>
    <w:rsid w:val="00CF29E3"/>
    <w:rsid w:val="00D0040F"/>
    <w:rsid w:val="00D02EE5"/>
    <w:rsid w:val="00D05439"/>
    <w:rsid w:val="00D15232"/>
    <w:rsid w:val="00D5399A"/>
    <w:rsid w:val="00D84AFF"/>
    <w:rsid w:val="00D86B4D"/>
    <w:rsid w:val="00DA7E5C"/>
    <w:rsid w:val="00DB1C41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65D1D"/>
    <w:rsid w:val="00F7100E"/>
    <w:rsid w:val="00F74B32"/>
    <w:rsid w:val="00F86D18"/>
    <w:rsid w:val="00F972A0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78127-4172-4FA9-9503-C0EFBFE8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2021-08-13T12:30:00Z</dcterms:created>
  <dcterms:modified xsi:type="dcterms:W3CDTF">2021-08-13T12:30:00Z</dcterms:modified>
</cp:coreProperties>
</file>