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C1" w:rsidRPr="00C5760B" w:rsidRDefault="008454C1" w:rsidP="008454C1">
      <w:pPr>
        <w:pStyle w:val="190"/>
        <w:shd w:val="clear" w:color="auto" w:fill="auto"/>
        <w:spacing w:line="240" w:lineRule="auto"/>
        <w:jc w:val="center"/>
        <w:rPr>
          <w:color w:val="000000"/>
          <w:spacing w:val="0"/>
          <w:sz w:val="28"/>
          <w:szCs w:val="28"/>
        </w:rPr>
      </w:pPr>
      <w:r w:rsidRPr="00C5760B">
        <w:rPr>
          <w:color w:val="000000"/>
          <w:spacing w:val="0"/>
          <w:sz w:val="28"/>
          <w:szCs w:val="28"/>
        </w:rPr>
        <w:t xml:space="preserve">ПОЯСНИТЕЛЬНАЯ ЗАПИСКА </w:t>
      </w:r>
    </w:p>
    <w:p w:rsidR="008454C1" w:rsidRPr="00C5760B" w:rsidRDefault="008454C1" w:rsidP="008454C1">
      <w:pPr>
        <w:pStyle w:val="190"/>
        <w:shd w:val="clear" w:color="auto" w:fill="auto"/>
        <w:spacing w:line="240" w:lineRule="auto"/>
        <w:jc w:val="center"/>
        <w:rPr>
          <w:color w:val="000000"/>
          <w:spacing w:val="0"/>
          <w:sz w:val="28"/>
          <w:szCs w:val="28"/>
        </w:rPr>
      </w:pPr>
      <w:r w:rsidRPr="00C5760B">
        <w:rPr>
          <w:color w:val="000000"/>
          <w:spacing w:val="0"/>
          <w:sz w:val="28"/>
          <w:szCs w:val="28"/>
        </w:rPr>
        <w:t xml:space="preserve">к проекту постановления Правительства Российской Федерации </w:t>
      </w:r>
    </w:p>
    <w:p w:rsidR="008454C1" w:rsidRPr="00C5760B" w:rsidRDefault="008454C1" w:rsidP="008454C1">
      <w:pPr>
        <w:pStyle w:val="210"/>
        <w:shd w:val="clear" w:color="auto" w:fill="auto"/>
        <w:spacing w:before="0" w:line="240" w:lineRule="auto"/>
        <w:jc w:val="center"/>
        <w:rPr>
          <w:b/>
          <w:color w:val="000000"/>
          <w:spacing w:val="0"/>
          <w:sz w:val="28"/>
          <w:szCs w:val="28"/>
        </w:rPr>
      </w:pPr>
      <w:r w:rsidRPr="00C5760B">
        <w:rPr>
          <w:b/>
          <w:color w:val="000000"/>
          <w:spacing w:val="0"/>
          <w:sz w:val="28"/>
          <w:szCs w:val="28"/>
        </w:rPr>
        <w:t>«</w:t>
      </w:r>
      <w:proofErr w:type="gramStart"/>
      <w:r w:rsidRPr="00FE510F">
        <w:rPr>
          <w:b/>
          <w:color w:val="000000"/>
          <w:spacing w:val="0"/>
          <w:sz w:val="28"/>
          <w:szCs w:val="28"/>
        </w:rPr>
        <w:t>О внесении изменений в некоторые акты Правительства Российской Федерации по вопросу реализации Решений Совета Евразийской экономической комиссии в сфере обращения лекарственных средств для медицинского применения</w:t>
      </w:r>
      <w:proofErr w:type="gramEnd"/>
      <w:r w:rsidRPr="00C5760B">
        <w:rPr>
          <w:b/>
          <w:color w:val="000000"/>
          <w:spacing w:val="0"/>
          <w:sz w:val="28"/>
          <w:szCs w:val="28"/>
        </w:rPr>
        <w:t>»</w:t>
      </w:r>
    </w:p>
    <w:p w:rsidR="008454C1" w:rsidRPr="004B0F15" w:rsidRDefault="008454C1" w:rsidP="008454C1">
      <w:pPr>
        <w:pStyle w:val="190"/>
        <w:shd w:val="clear" w:color="auto" w:fill="auto"/>
        <w:spacing w:line="276" w:lineRule="auto"/>
        <w:jc w:val="both"/>
        <w:rPr>
          <w:b w:val="0"/>
          <w:color w:val="000000"/>
          <w:spacing w:val="0"/>
          <w:sz w:val="28"/>
          <w:szCs w:val="28"/>
        </w:rPr>
      </w:pPr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Проект постановления «</w:t>
      </w:r>
      <w:r w:rsidRPr="004B0F15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акты Правительства Российской Федерации по вопросу реализации Решений Совета Евразийской экономической комиссии в сфере обращения лекарственных средств для медицинского применения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(далее – проект постановления) подготовлен в целях реализации Правил надлежащей клинической практики Евразийской экономической комиссии, утвержденных Решением Совета Евразийской экономической комиссии от 03.11.2016 № 79 (далее соответственно–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авила № 79, Комиссия), Правил</w:t>
      </w:r>
      <w:hyperlink r:id="rId4" w:history="1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регистрации и экспертизы лекарственных сре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дств дл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медицинского применения, утвержденных Решением Совета Евразийской экономической комиссии от 03.11.2016 г. № 78 (далее – Правила № 78, в части проведения фармацевтических инспекций), и Правил</w:t>
      </w:r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надлежащей практики </w:t>
      </w:r>
      <w:proofErr w:type="spellStart"/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фармаконадзора</w:t>
      </w:r>
      <w:proofErr w:type="spellEnd"/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Евразийского экономического союза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</w:t>
      </w:r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твержден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</w:t>
      </w:r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х </w:t>
      </w:r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Решением Совета Евразийской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экономической комиссии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.11.2016</w:t>
      </w:r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Pr="004B0F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87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– Правила № 87).</w:t>
      </w:r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соответствии с Правилами № 79 «инспекция (проверка)»</w:t>
      </w:r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proofErr w:type="spellStart"/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inspection</w:t>
      </w:r>
      <w:proofErr w:type="spellEnd"/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это </w:t>
      </w:r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действие уполномоченного органа, заключающееся в проведении официальной проверки документов, инфраструктуры, записей, соглашений по обеспечению качества и любых других источников, которые расцениваются уполномоченным органом как относящиеся к исследованию и которые могут быть расположены в исследовательском центре, на объектах спонсора и (или) контрактной исследовательской организации или в других организациях, которые, по мнению уполномоченного</w:t>
      </w:r>
      <w:proofErr w:type="gramEnd"/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органа, требуют инспектирования;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«уполномоченные органы»</w:t>
      </w:r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proofErr w:type="spellStart"/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regulatory</w:t>
      </w:r>
      <w:proofErr w:type="spellEnd"/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authorities</w:t>
      </w:r>
      <w:proofErr w:type="spellEnd"/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это </w:t>
      </w:r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органы, обладающие правом осуществлять регулирующие функции. Применительно к Правилам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79 </w:t>
      </w:r>
      <w:r w:rsidRPr="00CF33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уполномоченным органам относятся инстанции, уполномоченные рассматривать предоставленные им клинические данные, а также проводить инспекции. Эти органы также иногда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называют компетентными органами. </w:t>
      </w:r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Уполномоченным органом, обладающим правом осуществлять регулирующие функции в сфере клинических исследований лекарственных препаратов для медицинского применения, является Минздрав России.</w:t>
      </w:r>
    </w:p>
    <w:p w:rsidR="008454C1" w:rsidRDefault="008454C1" w:rsidP="008454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Согласно Правилам № 78</w:t>
      </w:r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</w:t>
      </w:r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аявитель в соответствии с законодательством государства-члена несет расходы на регистрацию, подтверждение регистрации (перерегистрацию), внесение изменений в регистрационное досье и экспертизу лекарственных препаратов, процедуры, связанные с регистрацией, а также на проведение инспекций в целях определения соответствия требованиям надлежащих фармацевтических </w:t>
      </w:r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практик, инициируемых в связи с осуществлением указанных процедур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(пункт 12)</w:t>
      </w:r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8454C1" w:rsidRDefault="008454C1" w:rsidP="008454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Уполномоченный орган </w:t>
      </w:r>
      <w:proofErr w:type="spellStart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референтного</w:t>
      </w:r>
      <w:proofErr w:type="spellEnd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государства на основании представленных заявителем документов и сведений с учетом оценки возможных рисков принимает решение о необходимости (или отсутствии необходимости) проведения внеплановой инспекции клинических исследований лекарственного препарата, в том числе исследований </w:t>
      </w:r>
      <w:proofErr w:type="spellStart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биоэквивалентности</w:t>
      </w:r>
      <w:proofErr w:type="spellEnd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в срок проведения регистрации лекарственного препарата на соответствие требованиям надлежащей клинической практики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Евразийского экономического с</w:t>
      </w:r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оюза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(далее – Союз) </w:t>
      </w:r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или о включении инспекции клинического исследования в план</w:t>
      </w:r>
      <w:proofErr w:type="gramEnd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проведения инспекций </w:t>
      </w:r>
      <w:proofErr w:type="gramStart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первые</w:t>
      </w:r>
      <w:proofErr w:type="gramEnd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3 года после регистрации лекарственного препарата. В этом случае плановая инспекция </w:t>
      </w:r>
      <w:proofErr w:type="gramStart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проводится</w:t>
      </w:r>
      <w:proofErr w:type="gramEnd"/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меньшей мере в одном исследовательском центре в соответствии с правилами проведения фармацевтических инспекций, утверждаемыми Комиссией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(пункт 37 Правил № 78)</w:t>
      </w:r>
      <w:r w:rsidRPr="004A3CB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8454C1" w:rsidRDefault="008454C1" w:rsidP="008454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Экспертиза лекарственного препарата не прерывается на срок проведения внеплановых фармацевтических инспекций на соответствие требованиям надлежащих практик Союза (производственной, лабораторной, клинической,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), но заключительный экспертный отчет по оценке может быть составлен уполномоченным органом (экспертной организацией)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референтного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государства только с учетом результатов внеплановых фармацевтических инспекций (в случае их проведения). Указанные инспекции должны быть проведены в срок, не превышающий 180 календарных дней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даты принятия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уполномоченным органом решения об инициировании инспекции (пункт 44 Правил № 78).</w:t>
      </w:r>
    </w:p>
    <w:p w:rsidR="008454C1" w:rsidRPr="00013ACE" w:rsidRDefault="008454C1" w:rsidP="008454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Экспертиза лекарственного препарата в случае инициирования фармацевтической инспекции на соответствие надлежащим фармацевтическим практикам Союза не приостанавливается. При этом подготовка экспертного отчета по оценке завершается </w:t>
      </w:r>
      <w:proofErr w:type="spellStart"/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референтным</w:t>
      </w:r>
      <w:proofErr w:type="spellEnd"/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государством только после получения экспертной организацией </w:t>
      </w:r>
      <w:proofErr w:type="spellStart"/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референтного</w:t>
      </w:r>
      <w:proofErr w:type="spellEnd"/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государства результатов инспектирования. Внеплановая фармацевтическая инспекция с направлением отчета о проведенной инспекции должна быть проведена в срок регистрации лекарственного препарата, не превышающий 180 календарных дней </w:t>
      </w:r>
      <w:proofErr w:type="gramStart"/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даты принятия</w:t>
      </w:r>
      <w:proofErr w:type="gramEnd"/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уполномоченным органом или экспертной организацией решения об инициировании проведения инспекции.</w:t>
      </w:r>
    </w:p>
    <w:p w:rsidR="008454C1" w:rsidRDefault="008454C1" w:rsidP="008454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Заявитель организует посещение производственной площадки и (или) исследовательского центра и (или) инспектирование системы </w:t>
      </w:r>
      <w:proofErr w:type="spellStart"/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фармаконадзора</w:t>
      </w:r>
      <w:proofErr w:type="spellEnd"/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держателя регистрационного удостоверения в течение 30 календарных дней после получения информации о необходимости проведения инспекции или предоставляет возможные варианты дат посещения, но не позднее 90 календарных дней после получения информации о необходимости инспекции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(пункт 58 Правил № 78)</w:t>
      </w:r>
      <w:r w:rsidRPr="00013AC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8454C1" w:rsidRDefault="008454C1" w:rsidP="008454C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Уполномоченный орган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референтного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государства отказывает в регистрации по децентрализованной процедуре в случае, если по результатам назначенной инспекции в период регистрации лекарственного препарата не подтверждено соответствие надлежащим фармацевтическим практикам Союза (подпункт «е» пункта 114 Правил № 78).</w:t>
      </w:r>
    </w:p>
    <w:p w:rsidR="008454C1" w:rsidRPr="004C4BC8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Правилами № 87 установлено, что «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контроль и обеспечение качества системы 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quality</w:t>
      </w:r>
      <w:proofErr w:type="spellEnd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control</w:t>
      </w:r>
      <w:proofErr w:type="spellEnd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and</w:t>
      </w:r>
      <w:proofErr w:type="spellEnd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assurance</w:t>
      </w:r>
      <w:proofErr w:type="spellEnd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это 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мониторинг, оценка, обеспечение эффективности и соответствия структурных элементов и процессов системы 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фармаконадзора</w:t>
      </w:r>
      <w:proofErr w:type="spellEnd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установленным требованиям;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система 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pharmacovigilance</w:t>
      </w:r>
      <w:proofErr w:type="spellEnd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system</w:t>
      </w:r>
      <w:proofErr w:type="spellEnd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это 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система, организуемая держателями регистрационных удостоверений лекарственных препаратов и уполномоченными органами государств-членов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оюза для выполнения задач и обязанностей по 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фармаконадзору</w:t>
      </w:r>
      <w:proofErr w:type="spellEnd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предназначенная для контроля безопасности лекарственных препаратов, своевременного выявления всех изменений в оценке соотношения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польза-риск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лекарственных препаратов, разработки и внедрения мер по обеспечению применения лекарственных препаратов п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 превышении пользы над риском.</w:t>
      </w:r>
      <w:proofErr w:type="gramEnd"/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Информация о проведении и результатах инспекций в рамках </w:t>
      </w:r>
      <w:proofErr w:type="spellStart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фармаконадзора</w:t>
      </w:r>
      <w:proofErr w:type="spellEnd"/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а также о последующем контроле и оценке последствий размещается государствами-членами на официальных сайтах соответствующих уполномоченных органов государств-членов в информационно-телекоммуникационной сети «Интернет»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(подпункт</w:t>
      </w:r>
      <w:r w:rsidRPr="004C4B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4.1.6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Правил № 87).</w:t>
      </w:r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связи с изложенным проектом постановления предусматривается наделение Минздрава России полномочиями по организации</w:t>
      </w:r>
      <w:r w:rsidRPr="007A04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(или)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проведению</w:t>
      </w:r>
      <w:r w:rsidRPr="007A04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инспекций (проверок) клинических исследований лекарственных препаратов для медицинского применения на соответствие требованиям Правил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 79, а также по организации и (или) проведению</w:t>
      </w:r>
      <w:r w:rsidRPr="007A04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фармацевтических инспекций на соответствие требованиям надлежащих практик Евразийского экономического союза (лабораторной, клинической) в период регистрации лекарственного препарата соответствии с Правилами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78,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Росздравнадзора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полномочием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организации и (или) проведению</w:t>
      </w:r>
      <w:r w:rsidRPr="007A04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7A04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фармаконадзора</w:t>
      </w:r>
      <w:proofErr w:type="spellEnd"/>
      <w:r w:rsidRPr="007A04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соответствии с Правилами № 87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Также проектом постановления предусматриваются изменения в п</w:t>
      </w:r>
      <w:r w:rsidRPr="00AD7F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еречень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</w:t>
      </w:r>
      <w:proofErr w:type="gramEnd"/>
      <w:r w:rsidRPr="00AD7F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AD7FC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постановлением Правительства Российской Федерации от 6 мая 2011 г. № 352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– постановление № 352), в связи с тем, что впоследствии Минздрав России передаст проектируемые полномочия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подведомственному ему ФГБУ «Научный центр экспертизы средств медицинского применения» Минздрава России,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Росздравнадзор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своим подведомственным учреждениям в части п</w:t>
      </w:r>
      <w:r w:rsidRPr="00020C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роведени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020C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020C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дорегистрационных</w:t>
      </w:r>
      <w:proofErr w:type="spellEnd"/>
      <w:r w:rsidRPr="00020C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инспекций системы </w:t>
      </w:r>
      <w:proofErr w:type="spellStart"/>
      <w:r w:rsidRPr="00020C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фармаконадзора</w:t>
      </w:r>
      <w:proofErr w:type="spellEnd"/>
      <w:r w:rsidRPr="00020C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соответствии с Правилами № 87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Во исполнение пункта 2 постановления № 352 Минздравом России будут утверждены соответствующие методики определения размера платы за оказание услуг, а также предельные размеры такой платы.</w:t>
      </w:r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Проект постановления соответствует</w:t>
      </w:r>
      <w:r w:rsidRPr="008D48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положениям Договора о Евразийском экономическом союзе, а также положениям иных международных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договоров Российской Федерации.</w:t>
      </w:r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Предлагаемые проектом постановления решения не окажут влияния </w:t>
      </w:r>
      <w:r w:rsidRPr="008D48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достижение целей государственных программ Российской Федерации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8454C1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В проекте постановления отсутствуют </w:t>
      </w:r>
      <w:r w:rsidRPr="008D48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требовани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8D48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которые связаны с осуществлением предпринимательской и иной экономической деятельности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8D48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8454C1" w:rsidRPr="004B0F15" w:rsidRDefault="008454C1" w:rsidP="008454C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Проект постановления не окажет влияния </w:t>
      </w:r>
      <w:r w:rsidRPr="006679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доходы или расходы соответствующего бюджета бюджетной системы Российской Федерации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поскольку р</w:t>
      </w:r>
      <w:r w:rsidRPr="00F004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еализация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проектируемых полномочий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будет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04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осуществляется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Минздравом России и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Росздравнадзором</w:t>
      </w:r>
      <w:bookmarkStart w:id="0" w:name="_GoBack"/>
      <w:bookmarkEnd w:id="0"/>
      <w:proofErr w:type="spellEnd"/>
      <w:r w:rsidRPr="00F004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пределах установленных Правительством Российской Федерации предельной численности и фонда оплаты труда их работников, а также бюджетных ассигнований, предусмотренных в федеральном бюджете на руководство и управление в установленных сферах деятельности.</w:t>
      </w:r>
    </w:p>
    <w:p w:rsidR="0049142A" w:rsidRDefault="0049142A"/>
    <w:sectPr w:rsidR="0049142A" w:rsidSect="0049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C1"/>
    <w:rsid w:val="00355318"/>
    <w:rsid w:val="0049142A"/>
    <w:rsid w:val="008454C1"/>
    <w:rsid w:val="0099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4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1)_"/>
    <w:basedOn w:val="a0"/>
    <w:link w:val="210"/>
    <w:rsid w:val="008454C1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8454C1"/>
    <w:rPr>
      <w:rFonts w:ascii="Times New Roman" w:eastAsia="Times New Roman" w:hAnsi="Times New Roman" w:cs="Times New Roman"/>
      <w:b/>
      <w:bCs/>
      <w:spacing w:val="-10"/>
      <w:sz w:val="29"/>
      <w:szCs w:val="29"/>
      <w:shd w:val="clear" w:color="auto" w:fill="FFFFFF"/>
    </w:rPr>
  </w:style>
  <w:style w:type="paragraph" w:customStyle="1" w:styleId="210">
    <w:name w:val="Основной текст (21)"/>
    <w:basedOn w:val="a"/>
    <w:link w:val="21"/>
    <w:rsid w:val="008454C1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pacing w:val="-10"/>
      <w:sz w:val="30"/>
      <w:szCs w:val="30"/>
      <w:lang w:eastAsia="en-US"/>
    </w:rPr>
  </w:style>
  <w:style w:type="paragraph" w:customStyle="1" w:styleId="190">
    <w:name w:val="Основной текст (19)"/>
    <w:basedOn w:val="a"/>
    <w:link w:val="19"/>
    <w:rsid w:val="008454C1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-10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07CCB2332F6194AB21C830F27B7B5BA737181012937BA440FE271A22C365E2D8E3788D5CF9320FEA30D35DDDF035B1F879A578A2AAE25CBE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1489</Words>
  <Characters>8490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KanavskayES</dc:creator>
  <cp:lastModifiedBy>администратор4</cp:lastModifiedBy>
  <cp:revision>2</cp:revision>
  <dcterms:created xsi:type="dcterms:W3CDTF">2022-02-07T07:32:00Z</dcterms:created>
  <dcterms:modified xsi:type="dcterms:W3CDTF">2022-02-07T07:32:00Z</dcterms:modified>
</cp:coreProperties>
</file>