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6A6F1C">
        <w:rPr>
          <w:rFonts w:ascii="Times New Roman" w:hAnsi="Times New Roman"/>
          <w:b/>
          <w:bCs/>
          <w:sz w:val="28"/>
          <w:szCs w:val="28"/>
        </w:rPr>
        <w:t xml:space="preserve">стандарта </w:t>
      </w:r>
      <w:r w:rsidR="00081AE7">
        <w:rPr>
          <w:rFonts w:ascii="Times New Roman" w:hAnsi="Times New Roman"/>
          <w:b/>
          <w:bCs/>
          <w:sz w:val="28"/>
          <w:szCs w:val="28"/>
        </w:rPr>
        <w:t>медицинской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помощи взрослым </w:t>
      </w:r>
    </w:p>
    <w:p w:rsidR="00F31562" w:rsidRPr="00C70215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967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C5086D">
        <w:rPr>
          <w:rFonts w:ascii="Times New Roman" w:hAnsi="Times New Roman"/>
          <w:b/>
          <w:bCs/>
          <w:sz w:val="28"/>
          <w:szCs w:val="28"/>
        </w:rPr>
        <w:t xml:space="preserve">изовалериановой </w:t>
      </w:r>
      <w:proofErr w:type="spellStart"/>
      <w:r w:rsidR="00C5086D">
        <w:rPr>
          <w:rFonts w:ascii="Times New Roman" w:hAnsi="Times New Roman"/>
          <w:b/>
          <w:bCs/>
          <w:sz w:val="28"/>
          <w:szCs w:val="28"/>
        </w:rPr>
        <w:t>ацидемии</w:t>
      </w:r>
      <w:proofErr w:type="spellEnd"/>
      <w:r w:rsidR="00C5086D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C5086D">
        <w:rPr>
          <w:rFonts w:ascii="Times New Roman" w:hAnsi="Times New Roman"/>
          <w:b/>
          <w:bCs/>
          <w:sz w:val="28"/>
          <w:szCs w:val="28"/>
        </w:rPr>
        <w:t>ацидурии</w:t>
      </w:r>
      <w:proofErr w:type="spellEnd"/>
      <w:r w:rsidRPr="004329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50C4" w:rsidRPr="00432967">
        <w:rPr>
          <w:rFonts w:ascii="Times New Roman" w:hAnsi="Times New Roman"/>
          <w:b/>
          <w:bCs/>
          <w:sz w:val="28"/>
          <w:szCs w:val="28"/>
        </w:rPr>
        <w:br/>
      </w:r>
      <w:r w:rsidR="00E012E9">
        <w:rPr>
          <w:rFonts w:ascii="Times New Roman" w:hAnsi="Times New Roman"/>
          <w:b/>
          <w:bCs/>
          <w:sz w:val="28"/>
          <w:szCs w:val="28"/>
        </w:rPr>
        <w:t>(диагностика</w:t>
      </w:r>
      <w:r w:rsidR="00447EC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012E9">
        <w:rPr>
          <w:rFonts w:ascii="Times New Roman" w:hAnsi="Times New Roman"/>
          <w:b/>
          <w:bCs/>
          <w:sz w:val="28"/>
          <w:szCs w:val="28"/>
        </w:rPr>
        <w:t>лечение</w:t>
      </w:r>
      <w:r w:rsidR="00447ECD">
        <w:rPr>
          <w:rFonts w:ascii="Times New Roman" w:hAnsi="Times New Roman"/>
          <w:b/>
          <w:bCs/>
          <w:sz w:val="28"/>
          <w:szCs w:val="28"/>
        </w:rPr>
        <w:t xml:space="preserve"> и диспансерное наблюдение</w:t>
      </w:r>
      <w:r w:rsidR="00E012E9">
        <w:rPr>
          <w:rFonts w:ascii="Times New Roman" w:hAnsi="Times New Roman"/>
          <w:b/>
          <w:bCs/>
          <w:sz w:val="28"/>
          <w:szCs w:val="28"/>
        </w:rPr>
        <w:t>)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E9" w:rsidRPr="00320F23" w:rsidRDefault="00E012E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 xml:space="preserve">ации, 2011, № 48, ст. 6724; </w:t>
      </w:r>
      <w:r w:rsidR="00786010">
        <w:rPr>
          <w:rFonts w:ascii="Times New Roman" w:hAnsi="Times New Roman"/>
          <w:sz w:val="28"/>
          <w:szCs w:val="28"/>
        </w:rPr>
        <w:t>2022, № 1, ст. 51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</w:t>
      </w:r>
      <w:r w:rsidR="00851CD5">
        <w:rPr>
          <w:rFonts w:ascii="Times New Roman" w:hAnsi="Times New Roman"/>
          <w:sz w:val="28"/>
          <w:szCs w:val="28"/>
        </w:rPr>
        <w:t xml:space="preserve">пункта 5 </w:t>
      </w:r>
      <w:r w:rsidRPr="00320F23">
        <w:rPr>
          <w:rFonts w:ascii="Times New Roman" w:hAnsi="Times New Roman"/>
          <w:sz w:val="28"/>
          <w:szCs w:val="28"/>
        </w:rPr>
        <w:t xml:space="preserve">Положения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>п р и к а з ы в а ю:</w:t>
      </w:r>
    </w:p>
    <w:p w:rsidR="00AF3801" w:rsidRPr="00320F23" w:rsidRDefault="00AF3801" w:rsidP="00432967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</w:rPr>
        <w:t xml:space="preserve">стандарт </w:t>
      </w:r>
      <w:r w:rsidR="006A6F1C">
        <w:rPr>
          <w:rFonts w:ascii="Times New Roman" w:hAnsi="Times New Roman"/>
          <w:sz w:val="28"/>
          <w:szCs w:val="28"/>
        </w:rPr>
        <w:t>медицинской</w:t>
      </w:r>
      <w:r w:rsidRPr="00320F23">
        <w:rPr>
          <w:rFonts w:ascii="Times New Roman" w:hAnsi="Times New Roman"/>
          <w:sz w:val="28"/>
        </w:rPr>
        <w:t xml:space="preserve"> помощи взрослым </w:t>
      </w:r>
      <w:r w:rsidR="006A6F1C">
        <w:rPr>
          <w:rFonts w:ascii="Times New Roman" w:hAnsi="Times New Roman"/>
          <w:sz w:val="28"/>
        </w:rPr>
        <w:t xml:space="preserve">при </w:t>
      </w:r>
      <w:r w:rsidR="00CB7C4F" w:rsidRPr="00CB7C4F">
        <w:rPr>
          <w:rFonts w:ascii="Times New Roman" w:hAnsi="Times New Roman"/>
          <w:sz w:val="28"/>
          <w:szCs w:val="28"/>
        </w:rPr>
        <w:t xml:space="preserve">изовалериановой </w:t>
      </w:r>
      <w:proofErr w:type="spellStart"/>
      <w:r w:rsidR="00CB7C4F" w:rsidRPr="00CB7C4F">
        <w:rPr>
          <w:rFonts w:ascii="Times New Roman" w:hAnsi="Times New Roman"/>
          <w:sz w:val="28"/>
          <w:szCs w:val="28"/>
        </w:rPr>
        <w:t>ацидемии</w:t>
      </w:r>
      <w:proofErr w:type="spellEnd"/>
      <w:r w:rsidR="00CB7C4F" w:rsidRPr="00CB7C4F">
        <w:rPr>
          <w:rFonts w:ascii="Times New Roman" w:hAnsi="Times New Roman"/>
          <w:sz w:val="28"/>
          <w:szCs w:val="28"/>
        </w:rPr>
        <w:t>/</w:t>
      </w:r>
      <w:proofErr w:type="spellStart"/>
      <w:r w:rsidR="00CB7C4F" w:rsidRPr="00CB7C4F">
        <w:rPr>
          <w:rFonts w:ascii="Times New Roman" w:hAnsi="Times New Roman"/>
          <w:sz w:val="28"/>
          <w:szCs w:val="28"/>
        </w:rPr>
        <w:t>ацидурии</w:t>
      </w:r>
      <w:proofErr w:type="spellEnd"/>
      <w:r w:rsidR="00CB7C4F" w:rsidRPr="00CB7C4F">
        <w:rPr>
          <w:rFonts w:ascii="Times New Roman" w:hAnsi="Times New Roman"/>
          <w:sz w:val="28"/>
          <w:szCs w:val="32"/>
        </w:rPr>
        <w:t xml:space="preserve"> </w:t>
      </w:r>
      <w:r w:rsidRPr="006A6F1C">
        <w:rPr>
          <w:rFonts w:ascii="Times New Roman" w:hAnsi="Times New Roman"/>
          <w:sz w:val="28"/>
          <w:szCs w:val="32"/>
        </w:rPr>
        <w:t>(диагностика</w:t>
      </w:r>
      <w:r w:rsidR="00447ECD" w:rsidRPr="006A6F1C">
        <w:rPr>
          <w:rFonts w:ascii="Times New Roman" w:hAnsi="Times New Roman"/>
          <w:sz w:val="28"/>
          <w:szCs w:val="32"/>
        </w:rPr>
        <w:t xml:space="preserve">, </w:t>
      </w:r>
      <w:r w:rsidRPr="006A6F1C">
        <w:rPr>
          <w:rFonts w:ascii="Times New Roman" w:hAnsi="Times New Roman"/>
          <w:sz w:val="28"/>
          <w:szCs w:val="32"/>
        </w:rPr>
        <w:t>лечение</w:t>
      </w:r>
      <w:r w:rsidR="00447ECD" w:rsidRPr="006A6F1C">
        <w:rPr>
          <w:rFonts w:ascii="Times New Roman" w:hAnsi="Times New Roman"/>
          <w:sz w:val="28"/>
          <w:szCs w:val="32"/>
        </w:rPr>
        <w:t xml:space="preserve"> и диспансерное на</w:t>
      </w:r>
      <w:r w:rsidR="00447ECD">
        <w:rPr>
          <w:rFonts w:ascii="Times New Roman" w:hAnsi="Times New Roman"/>
          <w:sz w:val="28"/>
          <w:szCs w:val="32"/>
        </w:rPr>
        <w:t>блюдение</w:t>
      </w:r>
      <w:r w:rsidRPr="00320F23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C25D3B" w:rsidRPr="00CA4638" w:rsidRDefault="00C25D3B" w:rsidP="007860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2D07CD" w:rsidRPr="00320F23" w:rsidRDefault="002D07CD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490A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68C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7F4828" w:rsidRPr="00FF4E91" w:rsidRDefault="007F4828" w:rsidP="007F4828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7F4828" w:rsidRPr="006D7966" w:rsidRDefault="007F4828" w:rsidP="007F4828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6D7966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7F4828" w:rsidRPr="006D7966" w:rsidRDefault="007F4828" w:rsidP="007F4828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6D7966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изовалериановой ацидемии/ацидурии</w:t>
      </w:r>
      <w:r>
        <w:rPr>
          <w:rStyle w:val="af3"/>
          <w:rFonts w:eastAsia="Calibri"/>
          <w:caps/>
          <w:sz w:val="28"/>
          <w:szCs w:val="32"/>
          <w:lang w:eastAsia="en-US"/>
        </w:rPr>
        <w:t xml:space="preserve"> (диагностика, лечение и диспансерное наблюдение)</w:t>
      </w:r>
    </w:p>
    <w:p w:rsidR="007F4828" w:rsidRPr="006D7966" w:rsidRDefault="007F4828" w:rsidP="007F4828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4828" w:rsidRPr="006D7966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 xml:space="preserve"> взрослые</w:t>
      </w:r>
    </w:p>
    <w:p w:rsidR="007F4828" w:rsidRPr="006D7966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 xml:space="preserve"> любой</w:t>
      </w:r>
    </w:p>
    <w:p w:rsidR="007F4828" w:rsidRPr="006D7966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6D796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первичная медико-санитарная помощь, специализированная медицинская помощь</w:t>
      </w:r>
    </w:p>
    <w:p w:rsidR="007F4828" w:rsidRPr="00FE485C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амбулаторно, стационарно</w:t>
      </w:r>
    </w:p>
    <w:p w:rsidR="007F4828" w:rsidRPr="00FE485C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экстренная, плановая</w:t>
      </w:r>
    </w:p>
    <w:p w:rsidR="007F4828" w:rsidRPr="00FE485C" w:rsidRDefault="007F4828" w:rsidP="007F482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4828" w:rsidRPr="00FE485C" w:rsidRDefault="007F4828" w:rsidP="007F482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7F4828" w:rsidRPr="006D7966" w:rsidRDefault="007F4828" w:rsidP="007F482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6D79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D7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7F4828" w:rsidRPr="00FE485C" w:rsidRDefault="007F4828" w:rsidP="007F4828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4828" w:rsidRPr="00436399" w:rsidRDefault="007F4828" w:rsidP="007F4828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7F4828" w:rsidRPr="006D7966" w:rsidRDefault="007F4828" w:rsidP="007F4828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>71.1</w:t>
      </w:r>
      <w:r w:rsidRPr="006D7966">
        <w:rPr>
          <w:rFonts w:ascii="Times New Roman" w:eastAsia="Times New Roman" w:hAnsi="Times New Roman"/>
          <w:sz w:val="28"/>
          <w:szCs w:val="20"/>
          <w:lang w:eastAsia="ru-RU"/>
        </w:rPr>
        <w:tab/>
        <w:t>Другие виды нарушений обмена аминокислот с разветвленной цепью</w:t>
      </w:r>
    </w:p>
    <w:p w:rsidR="007F4828" w:rsidRPr="006D7966" w:rsidRDefault="007F4828" w:rsidP="007F4828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828" w:rsidRPr="002E7AB5" w:rsidRDefault="007F4828" w:rsidP="007F4828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FF4E91" w:rsidTr="00DE677C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FF4E91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DF75B8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796F97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1D047D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DF75B8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1D047D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DF75B8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Pr="00C936D9" w:rsidRDefault="007F4828" w:rsidP="007F4828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FF4E91" w:rsidTr="00DE677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8F73F7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6001EC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B01.026.002 «Прием (осмотр, консультация) врача общей практики (семейного врача) повторный»)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9A33AC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B04.047.001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Диспансерный прием (осмотр, консультация) врача-терапевта (при оказании медицинской помощи в амбулаторных условиях медицинская услуга является взаимозаменяемой с медицинской услугой B04.026.001 «Диспансерный прием (осмотр, консультация) врача общей практики (семейного врача)»)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Default="007F4828" w:rsidP="007F4828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23196B" w:rsidTr="00DE677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8F5B99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6001EC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Обнаружение кетоновых тел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определение содержания органических кислот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определение концентрации на аминокислоты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ацилкарнитины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 методом тандемной масс-спектрометрии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B03.019.019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исследований для диагностики органических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ацидурий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Default="007F4828" w:rsidP="007F4828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23196B" w:rsidTr="00DE677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8F5B99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6001EC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A06.23.004.006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Default="007F4828" w:rsidP="007F4828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FF4E91" w:rsidTr="00DE677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8F73F7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6001EC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A16.16.034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Гастростомия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Default="007F4828" w:rsidP="007F4828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7F4828" w:rsidRPr="0023196B" w:rsidTr="00DE677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7F4828" w:rsidRPr="006D7966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6D7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7F4828" w:rsidRPr="006001EC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F4828" w:rsidRPr="008F5B99" w:rsidTr="00DE677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7F4828" w:rsidRPr="006001EC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4828" w:rsidRPr="006E606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назогастрального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F4828" w:rsidRPr="006E6060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4828" w:rsidRPr="004E30AB" w:rsidRDefault="007F4828" w:rsidP="007F4828">
      <w:pPr>
        <w:rPr>
          <w:lang w:val="en-US" w:eastAsia="ru-RU"/>
        </w:rPr>
      </w:pPr>
    </w:p>
    <w:p w:rsidR="007F4828" w:rsidRPr="008D13CE" w:rsidRDefault="007F4828" w:rsidP="007F4828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7F4828" w:rsidRPr="00FF4E91" w:rsidTr="00DE677C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796F97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796F97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A10AB</w:t>
            </w: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A16AA</w:t>
            </w: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Левокарнитин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1 533 000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B05BA</w:t>
            </w: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 для парентерального питания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Декстроза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2 625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Растворы, влияющие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водноэлектролитный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Калия хлорид+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Натрия гидрокарбонат+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B05XA</w:t>
            </w: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 электролитов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28" w:rsidRPr="00FF4E91" w:rsidTr="00DE677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7F4828" w:rsidRPr="00102F90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гидрокарбонат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F4828" w:rsidRPr="008F29C4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2 520</w:t>
            </w:r>
          </w:p>
        </w:tc>
      </w:tr>
    </w:tbl>
    <w:p w:rsidR="007F4828" w:rsidRDefault="007F4828" w:rsidP="007F4828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7F4828" w:rsidRPr="0023196B" w:rsidTr="00DE677C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7F4828" w:rsidRPr="001E62B5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7F4828" w:rsidRPr="001F05E6" w:rsidTr="00DE677C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28" w:rsidRPr="001F05E6" w:rsidRDefault="007F4828" w:rsidP="00DE6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пониженным количеством белка (низкобелковая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7F4828" w:rsidRDefault="007F4828" w:rsidP="007F4828">
      <w:pPr>
        <w:widowControl w:val="0"/>
        <w:autoSpaceDE w:val="0"/>
        <w:autoSpaceDN w:val="0"/>
        <w:spacing w:after="0" w:line="360" w:lineRule="auto"/>
        <w:jc w:val="both"/>
        <w:rPr>
          <w:lang w:val="en-US" w:eastAsia="ru-RU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7F4828" w:rsidRPr="00A54A39" w:rsidTr="00DE677C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7F4828" w:rsidRPr="00A54A39" w:rsidRDefault="007F4828" w:rsidP="007F482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Специализированные продукты лечебного питания</w:t>
            </w:r>
          </w:p>
        </w:tc>
      </w:tr>
      <w:tr w:rsidR="007F4828" w:rsidRPr="00FF4E91" w:rsidTr="00DE677C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28" w:rsidRPr="00FF4E91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8" w:rsidRPr="00A90982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8" w:rsidRPr="00A90982" w:rsidRDefault="007F4828" w:rsidP="00DE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7F4828" w:rsidRPr="001F05E6" w:rsidTr="00DE677C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28" w:rsidRPr="001F05E6" w:rsidRDefault="007F4828" w:rsidP="00DE6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продукт лечебного питания, лишенный лейцина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8" w:rsidRPr="001F05E6" w:rsidRDefault="007F4828" w:rsidP="00DE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1 095</w:t>
            </w:r>
          </w:p>
        </w:tc>
      </w:tr>
    </w:tbl>
    <w:p w:rsidR="007F4828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7F4828" w:rsidRPr="00436399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F4828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F4828" w:rsidRPr="00436399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F4828" w:rsidRPr="00436399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7F4828" w:rsidRPr="00F17450" w:rsidRDefault="007F4828" w:rsidP="007F4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bookmarkStart w:id="3" w:name="P1985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</w:p>
    <w:p w:rsidR="00C5086D" w:rsidRPr="00F17450" w:rsidRDefault="00C5086D" w:rsidP="00C5086D">
      <w:pPr>
        <w:spacing w:after="0"/>
        <w:jc w:val="center"/>
        <w:rPr>
          <w:rFonts w:eastAsia="Times New Roman" w:cs="Calibri"/>
          <w:sz w:val="20"/>
          <w:szCs w:val="20"/>
          <w:lang w:eastAsia="ru-RU"/>
        </w:rPr>
      </w:pPr>
    </w:p>
    <w:p w:rsidR="008117AC" w:rsidRPr="00F17450" w:rsidRDefault="008117AC" w:rsidP="00C5086D">
      <w:pPr>
        <w:spacing w:after="0"/>
        <w:jc w:val="center"/>
        <w:rPr>
          <w:rFonts w:eastAsia="Times New Roman" w:cs="Calibri"/>
          <w:sz w:val="20"/>
          <w:szCs w:val="20"/>
          <w:lang w:eastAsia="ru-RU"/>
        </w:rPr>
      </w:pPr>
    </w:p>
    <w:sectPr w:rsidR="008117AC" w:rsidRPr="00F17450" w:rsidSect="00490ADB"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6838" w:h="11906" w:orient="landscape"/>
      <w:pgMar w:top="612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A6" w:rsidRDefault="001400A6" w:rsidP="002001E0">
      <w:pPr>
        <w:spacing w:after="0" w:line="240" w:lineRule="auto"/>
      </w:pPr>
      <w:r>
        <w:separator/>
      </w:r>
    </w:p>
  </w:endnote>
  <w:endnote w:type="continuationSeparator" w:id="0">
    <w:p w:rsidR="001400A6" w:rsidRDefault="001400A6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  <w:jc w:val="right"/>
    </w:pPr>
  </w:p>
  <w:p w:rsidR="004B5DFD" w:rsidRDefault="004B5DF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A6" w:rsidRDefault="001400A6" w:rsidP="002001E0">
      <w:pPr>
        <w:spacing w:after="0" w:line="240" w:lineRule="auto"/>
      </w:pPr>
      <w:r>
        <w:separator/>
      </w:r>
    </w:p>
  </w:footnote>
  <w:footnote w:type="continuationSeparator" w:id="0">
    <w:p w:rsidR="001400A6" w:rsidRDefault="001400A6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D" w:rsidRPr="00F66486" w:rsidRDefault="00166A48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="004B5DFD"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F73489">
          <w:rPr>
            <w:rFonts w:ascii="Times New Roman" w:hAnsi="Times New Roman"/>
            <w:noProof/>
          </w:rPr>
          <w:t>2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B5DFD" w:rsidRDefault="004B5DF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10"/>
    <w:multiLevelType w:val="multilevel"/>
    <w:tmpl w:val="0F50E30E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69B7"/>
    <w:multiLevelType w:val="multilevel"/>
    <w:tmpl w:val="9B9649A4"/>
    <w:numStyleLink w:val="a0"/>
  </w:abstractNum>
  <w:abstractNum w:abstractNumId="14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2"/>
  </w:num>
  <w:num w:numId="5">
    <w:abstractNumId w:val="18"/>
  </w:num>
  <w:num w:numId="6">
    <w:abstractNumId w:val="20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19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42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2C83"/>
    <w:rsid w:val="0001334B"/>
    <w:rsid w:val="00013835"/>
    <w:rsid w:val="00013A11"/>
    <w:rsid w:val="00025EEA"/>
    <w:rsid w:val="0003529B"/>
    <w:rsid w:val="00065E58"/>
    <w:rsid w:val="00070780"/>
    <w:rsid w:val="00070947"/>
    <w:rsid w:val="00081AE7"/>
    <w:rsid w:val="00084AD7"/>
    <w:rsid w:val="00084E7A"/>
    <w:rsid w:val="000975DE"/>
    <w:rsid w:val="000A61BA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00A6"/>
    <w:rsid w:val="00145DBA"/>
    <w:rsid w:val="00157595"/>
    <w:rsid w:val="00164396"/>
    <w:rsid w:val="001651C2"/>
    <w:rsid w:val="00166A48"/>
    <w:rsid w:val="001A3A79"/>
    <w:rsid w:val="001B1677"/>
    <w:rsid w:val="001B1A48"/>
    <w:rsid w:val="001B5007"/>
    <w:rsid w:val="001D047D"/>
    <w:rsid w:val="001D28C9"/>
    <w:rsid w:val="001D6656"/>
    <w:rsid w:val="001D6BD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94B9D"/>
    <w:rsid w:val="002B2E99"/>
    <w:rsid w:val="002B3A51"/>
    <w:rsid w:val="002B5B1F"/>
    <w:rsid w:val="002C7CC5"/>
    <w:rsid w:val="002D07CD"/>
    <w:rsid w:val="002D2951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273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15CBD"/>
    <w:rsid w:val="00421226"/>
    <w:rsid w:val="00423DF4"/>
    <w:rsid w:val="00427105"/>
    <w:rsid w:val="00427E4E"/>
    <w:rsid w:val="00432967"/>
    <w:rsid w:val="00433C0E"/>
    <w:rsid w:val="00436148"/>
    <w:rsid w:val="00436399"/>
    <w:rsid w:val="0043654B"/>
    <w:rsid w:val="00442D16"/>
    <w:rsid w:val="004436EF"/>
    <w:rsid w:val="00447ECD"/>
    <w:rsid w:val="00465532"/>
    <w:rsid w:val="004726C3"/>
    <w:rsid w:val="004749FC"/>
    <w:rsid w:val="00476C3F"/>
    <w:rsid w:val="00481CAA"/>
    <w:rsid w:val="00490ADB"/>
    <w:rsid w:val="004913EB"/>
    <w:rsid w:val="0049172D"/>
    <w:rsid w:val="00497609"/>
    <w:rsid w:val="004A17A6"/>
    <w:rsid w:val="004A6302"/>
    <w:rsid w:val="004B5DFD"/>
    <w:rsid w:val="004B7E2B"/>
    <w:rsid w:val="004D351F"/>
    <w:rsid w:val="004D6C8C"/>
    <w:rsid w:val="004E30AB"/>
    <w:rsid w:val="004E75BC"/>
    <w:rsid w:val="004F02DE"/>
    <w:rsid w:val="004F1FB6"/>
    <w:rsid w:val="0050032F"/>
    <w:rsid w:val="00523983"/>
    <w:rsid w:val="00526E26"/>
    <w:rsid w:val="00532E72"/>
    <w:rsid w:val="00544218"/>
    <w:rsid w:val="00544FDE"/>
    <w:rsid w:val="00550EBA"/>
    <w:rsid w:val="00552E54"/>
    <w:rsid w:val="005564E5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A6F1C"/>
    <w:rsid w:val="006C02CA"/>
    <w:rsid w:val="006C272B"/>
    <w:rsid w:val="006E578A"/>
    <w:rsid w:val="006E6060"/>
    <w:rsid w:val="006F579A"/>
    <w:rsid w:val="006F7BC0"/>
    <w:rsid w:val="0070191C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61556"/>
    <w:rsid w:val="00770CB7"/>
    <w:rsid w:val="00772894"/>
    <w:rsid w:val="00786010"/>
    <w:rsid w:val="00787C9A"/>
    <w:rsid w:val="007967DB"/>
    <w:rsid w:val="00796F97"/>
    <w:rsid w:val="007A5469"/>
    <w:rsid w:val="007D4122"/>
    <w:rsid w:val="007E30AF"/>
    <w:rsid w:val="007E77D4"/>
    <w:rsid w:val="007F4828"/>
    <w:rsid w:val="007F6898"/>
    <w:rsid w:val="007F7D42"/>
    <w:rsid w:val="008117AC"/>
    <w:rsid w:val="008128DF"/>
    <w:rsid w:val="00822149"/>
    <w:rsid w:val="00844CE3"/>
    <w:rsid w:val="00851CD5"/>
    <w:rsid w:val="0085219D"/>
    <w:rsid w:val="008537B7"/>
    <w:rsid w:val="00855A91"/>
    <w:rsid w:val="00864C55"/>
    <w:rsid w:val="00865C9D"/>
    <w:rsid w:val="0086721F"/>
    <w:rsid w:val="00867CB2"/>
    <w:rsid w:val="00880D9C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8F7DF4"/>
    <w:rsid w:val="00903E4A"/>
    <w:rsid w:val="00905930"/>
    <w:rsid w:val="0091197B"/>
    <w:rsid w:val="0093756E"/>
    <w:rsid w:val="00937B7E"/>
    <w:rsid w:val="00945ABF"/>
    <w:rsid w:val="009550C4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3CB9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1D7"/>
    <w:rsid w:val="00A90982"/>
    <w:rsid w:val="00AB22BF"/>
    <w:rsid w:val="00AB5858"/>
    <w:rsid w:val="00AC16D7"/>
    <w:rsid w:val="00AC70FC"/>
    <w:rsid w:val="00AE520C"/>
    <w:rsid w:val="00AE5FFA"/>
    <w:rsid w:val="00AF3801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1561"/>
    <w:rsid w:val="00BA4E67"/>
    <w:rsid w:val="00BC076E"/>
    <w:rsid w:val="00BC4225"/>
    <w:rsid w:val="00BD3FF8"/>
    <w:rsid w:val="00BD6666"/>
    <w:rsid w:val="00BF24EE"/>
    <w:rsid w:val="00BF58C4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25D3B"/>
    <w:rsid w:val="00C30A0B"/>
    <w:rsid w:val="00C4355A"/>
    <w:rsid w:val="00C445DB"/>
    <w:rsid w:val="00C44626"/>
    <w:rsid w:val="00C458E6"/>
    <w:rsid w:val="00C5086D"/>
    <w:rsid w:val="00C50DB0"/>
    <w:rsid w:val="00C5445F"/>
    <w:rsid w:val="00C570D1"/>
    <w:rsid w:val="00C57C84"/>
    <w:rsid w:val="00C60B47"/>
    <w:rsid w:val="00C62924"/>
    <w:rsid w:val="00C742BA"/>
    <w:rsid w:val="00C810ED"/>
    <w:rsid w:val="00C81F0E"/>
    <w:rsid w:val="00C936D9"/>
    <w:rsid w:val="00C93D70"/>
    <w:rsid w:val="00C97BA0"/>
    <w:rsid w:val="00CA1D3A"/>
    <w:rsid w:val="00CB7C4F"/>
    <w:rsid w:val="00CB7CA8"/>
    <w:rsid w:val="00CC0E86"/>
    <w:rsid w:val="00CC3F03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0605"/>
    <w:rsid w:val="00DC2E35"/>
    <w:rsid w:val="00DC6677"/>
    <w:rsid w:val="00DD7B7C"/>
    <w:rsid w:val="00DE45B4"/>
    <w:rsid w:val="00DE642E"/>
    <w:rsid w:val="00DF4E64"/>
    <w:rsid w:val="00DF6FF8"/>
    <w:rsid w:val="00DF75B8"/>
    <w:rsid w:val="00E012E9"/>
    <w:rsid w:val="00E03528"/>
    <w:rsid w:val="00E07DED"/>
    <w:rsid w:val="00E158F7"/>
    <w:rsid w:val="00E16A1C"/>
    <w:rsid w:val="00E311C6"/>
    <w:rsid w:val="00E3148E"/>
    <w:rsid w:val="00E3562C"/>
    <w:rsid w:val="00E45FD2"/>
    <w:rsid w:val="00E6095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068C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73489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66A4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07FA-8F09-4CB0-9568-A11B03C8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2022-01-13T11:51:00Z</cp:lastPrinted>
  <dcterms:created xsi:type="dcterms:W3CDTF">2022-05-18T11:13:00Z</dcterms:created>
  <dcterms:modified xsi:type="dcterms:W3CDTF">2022-05-18T11:13:00Z</dcterms:modified>
</cp:coreProperties>
</file>