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8D" w:rsidRPr="00D75F54" w:rsidRDefault="004D448D" w:rsidP="00214CA7">
      <w:pPr>
        <w:pStyle w:val="11"/>
        <w:spacing w:line="240" w:lineRule="auto"/>
        <w:ind w:left="4253" w:firstLine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F54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4D448D" w:rsidRPr="00600CC5" w:rsidRDefault="00214CA7" w:rsidP="00214CA7">
      <w:pPr>
        <w:pStyle w:val="11"/>
        <w:spacing w:line="240" w:lineRule="auto"/>
        <w:ind w:left="4253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</w:t>
      </w:r>
      <w:r w:rsidR="004D448D">
        <w:rPr>
          <w:rFonts w:hAnsi="Times New Roman"/>
          <w:sz w:val="24"/>
          <w:szCs w:val="24"/>
        </w:rPr>
        <w:t xml:space="preserve"> </w:t>
      </w:r>
      <w:r w:rsidR="004D448D" w:rsidRPr="00600CC5">
        <w:rPr>
          <w:rFonts w:hAnsi="Times New Roman"/>
          <w:sz w:val="24"/>
          <w:szCs w:val="24"/>
        </w:rPr>
        <w:t>Тарифному</w:t>
      </w:r>
      <w:r w:rsidR="004D448D">
        <w:rPr>
          <w:rFonts w:hAnsi="Times New Roman"/>
          <w:sz w:val="24"/>
          <w:szCs w:val="24"/>
        </w:rPr>
        <w:t xml:space="preserve"> </w:t>
      </w:r>
      <w:r w:rsidR="004D448D" w:rsidRPr="00600CC5">
        <w:rPr>
          <w:rFonts w:hAnsi="Times New Roman"/>
          <w:sz w:val="24"/>
          <w:szCs w:val="24"/>
        </w:rPr>
        <w:t>соглашению</w:t>
      </w:r>
    </w:p>
    <w:p w:rsidR="004D448D" w:rsidRDefault="004D448D" w:rsidP="00214CA7">
      <w:pPr>
        <w:autoSpaceDE w:val="0"/>
        <w:autoSpaceDN w:val="0"/>
        <w:adjustRightInd w:val="0"/>
      </w:pPr>
    </w:p>
    <w:p w:rsidR="00595EF7" w:rsidRPr="00214CA7" w:rsidRDefault="00595EF7" w:rsidP="00595EF7">
      <w:pPr>
        <w:autoSpaceDE w:val="0"/>
        <w:autoSpaceDN w:val="0"/>
        <w:adjustRightInd w:val="0"/>
        <w:jc w:val="center"/>
        <w:rPr>
          <w:b/>
          <w:kern w:val="24"/>
          <w:sz w:val="24"/>
          <w:szCs w:val="24"/>
        </w:rPr>
      </w:pPr>
      <w:r w:rsidRPr="00214CA7">
        <w:rPr>
          <w:sz w:val="24"/>
          <w:szCs w:val="24"/>
        </w:rPr>
        <w:tab/>
      </w:r>
      <w:r w:rsidRPr="00214CA7">
        <w:rPr>
          <w:b/>
          <w:kern w:val="24"/>
          <w:sz w:val="24"/>
          <w:szCs w:val="24"/>
        </w:rPr>
        <w:t xml:space="preserve">Порядок применения способов оплаты медицинской помощи, </w:t>
      </w:r>
    </w:p>
    <w:p w:rsidR="00595EF7" w:rsidRDefault="00595EF7" w:rsidP="00595EF7">
      <w:pPr>
        <w:autoSpaceDE w:val="0"/>
        <w:autoSpaceDN w:val="0"/>
        <w:adjustRightInd w:val="0"/>
        <w:jc w:val="center"/>
        <w:rPr>
          <w:b/>
          <w:kern w:val="24"/>
          <w:sz w:val="24"/>
          <w:szCs w:val="24"/>
        </w:rPr>
      </w:pPr>
      <w:proofErr w:type="gramStart"/>
      <w:r w:rsidRPr="00214CA7">
        <w:rPr>
          <w:b/>
          <w:kern w:val="24"/>
          <w:sz w:val="24"/>
          <w:szCs w:val="24"/>
        </w:rPr>
        <w:t>оказанной</w:t>
      </w:r>
      <w:proofErr w:type="gramEnd"/>
      <w:r w:rsidRPr="00214CA7">
        <w:rPr>
          <w:b/>
          <w:kern w:val="24"/>
          <w:sz w:val="24"/>
          <w:szCs w:val="24"/>
        </w:rPr>
        <w:t xml:space="preserve"> в стационарных условиях</w:t>
      </w:r>
    </w:p>
    <w:p w:rsidR="00174262" w:rsidRPr="00214CA7" w:rsidRDefault="00174262" w:rsidP="00595EF7">
      <w:pPr>
        <w:autoSpaceDE w:val="0"/>
        <w:autoSpaceDN w:val="0"/>
        <w:adjustRightInd w:val="0"/>
        <w:jc w:val="center"/>
        <w:rPr>
          <w:b/>
          <w:kern w:val="24"/>
          <w:sz w:val="24"/>
          <w:szCs w:val="24"/>
        </w:rPr>
      </w:pPr>
    </w:p>
    <w:p w:rsidR="004E01D4" w:rsidRPr="00214CA7" w:rsidRDefault="004E01D4" w:rsidP="004E01D4">
      <w:pPr>
        <w:autoSpaceDE w:val="0"/>
        <w:autoSpaceDN w:val="0"/>
        <w:adjustRightInd w:val="0"/>
        <w:ind w:firstLine="851"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214CA7">
        <w:rPr>
          <w:rFonts w:eastAsia="Arial Unicode MS"/>
          <w:sz w:val="24"/>
          <w:szCs w:val="24"/>
          <w:bdr w:val="nil"/>
          <w:lang w:eastAsia="en-US"/>
        </w:rPr>
        <w:t>1</w:t>
      </w:r>
      <w:r w:rsidR="00174262">
        <w:rPr>
          <w:rFonts w:eastAsia="Arial Unicode MS"/>
          <w:sz w:val="24"/>
          <w:szCs w:val="24"/>
          <w:bdr w:val="nil"/>
          <w:lang w:eastAsia="en-US"/>
        </w:rPr>
        <w:t xml:space="preserve">. </w:t>
      </w:r>
      <w:proofErr w:type="gramStart"/>
      <w:r w:rsidR="00174262">
        <w:rPr>
          <w:rFonts w:eastAsia="Arial Unicode MS"/>
          <w:sz w:val="24"/>
          <w:szCs w:val="24"/>
          <w:bdr w:val="nil"/>
          <w:lang w:eastAsia="en-US"/>
        </w:rPr>
        <w:t>О</w:t>
      </w:r>
      <w:r w:rsidRPr="00214CA7">
        <w:rPr>
          <w:rFonts w:eastAsia="Arial Unicode MS"/>
          <w:sz w:val="24"/>
          <w:szCs w:val="24"/>
          <w:bdr w:val="nil"/>
          <w:lang w:eastAsia="en-US"/>
        </w:rPr>
        <w:t>плат</w:t>
      </w:r>
      <w:r w:rsidR="00174262">
        <w:rPr>
          <w:rFonts w:eastAsia="Arial Unicode MS"/>
          <w:sz w:val="24"/>
          <w:szCs w:val="24"/>
          <w:bdr w:val="nil"/>
          <w:lang w:eastAsia="en-US"/>
        </w:rPr>
        <w:t>а</w:t>
      </w:r>
      <w:r w:rsidRPr="00214CA7">
        <w:rPr>
          <w:rFonts w:eastAsia="Arial Unicode MS"/>
          <w:sz w:val="24"/>
          <w:szCs w:val="24"/>
          <w:bdr w:val="nil"/>
          <w:lang w:eastAsia="en-US"/>
        </w:rPr>
        <w:t xml:space="preserve"> медицинской помощи, оказанной в стационарных условиях, </w:t>
      </w:r>
      <w:r w:rsidR="00174262">
        <w:rPr>
          <w:rFonts w:eastAsia="Arial Unicode MS"/>
          <w:sz w:val="24"/>
          <w:szCs w:val="24"/>
          <w:bdr w:val="nil"/>
          <w:lang w:eastAsia="en-US"/>
        </w:rPr>
        <w:t>осуществляется</w:t>
      </w:r>
      <w:r w:rsidRPr="00214CA7">
        <w:rPr>
          <w:rFonts w:eastAsia="Arial Unicode MS"/>
          <w:sz w:val="24"/>
          <w:szCs w:val="24"/>
          <w:bdr w:val="nil"/>
          <w:lang w:eastAsia="en-US"/>
        </w:rPr>
        <w:t xml:space="preserve"> за законченной случай лечения заболевания, включенн</w:t>
      </w:r>
      <w:r w:rsidR="00174262">
        <w:rPr>
          <w:rFonts w:eastAsia="Arial Unicode MS"/>
          <w:sz w:val="24"/>
          <w:szCs w:val="24"/>
          <w:bdr w:val="nil"/>
          <w:lang w:eastAsia="en-US"/>
        </w:rPr>
        <w:t>ого</w:t>
      </w:r>
      <w:r w:rsidRPr="00214CA7">
        <w:rPr>
          <w:rFonts w:eastAsia="Arial Unicode MS"/>
          <w:sz w:val="24"/>
          <w:szCs w:val="24"/>
          <w:bdr w:val="nil"/>
          <w:lang w:eastAsia="en-US"/>
        </w:rPr>
        <w:t xml:space="preserve"> в соответствующую группу заболеваний, в том числе клинико-статистические группы (далее – КСГ).</w:t>
      </w:r>
      <w:proofErr w:type="gramEnd"/>
    </w:p>
    <w:p w:rsidR="00595EF7" w:rsidRPr="00214CA7" w:rsidRDefault="00595EF7" w:rsidP="00595EF7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214CA7">
        <w:rPr>
          <w:sz w:val="24"/>
          <w:szCs w:val="24"/>
        </w:rPr>
        <w:t xml:space="preserve">В стационарных условиях в рамках ОМС оказывается </w:t>
      </w:r>
      <w:proofErr w:type="gramStart"/>
      <w:r w:rsidRPr="00214CA7">
        <w:rPr>
          <w:sz w:val="24"/>
          <w:szCs w:val="24"/>
        </w:rPr>
        <w:t>с</w:t>
      </w:r>
      <w:hyperlink r:id="rId7" w:history="1">
        <w:r w:rsidRPr="00214CA7">
          <w:rPr>
            <w:sz w:val="24"/>
            <w:szCs w:val="24"/>
          </w:rPr>
          <w:t>пециализированная</w:t>
        </w:r>
        <w:proofErr w:type="gramEnd"/>
      </w:hyperlink>
      <w:r w:rsidRPr="00214CA7">
        <w:rPr>
          <w:sz w:val="24"/>
          <w:szCs w:val="24"/>
        </w:rPr>
        <w:t>, в том числе высокотехнологичная медицинская помощь, включающая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595EF7" w:rsidRPr="00214CA7" w:rsidRDefault="00595EF7" w:rsidP="00595EF7">
      <w:pPr>
        <w:autoSpaceDE w:val="0"/>
        <w:autoSpaceDN w:val="0"/>
        <w:adjustRightInd w:val="0"/>
        <w:ind w:firstLine="851"/>
        <w:jc w:val="both"/>
        <w:outlineLvl w:val="0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 Для расчета стоимости медицинской помощи медицинские организации формируют базу данных медицинских услуг, оказанных застрахованным лицам, с заполнением всех обязательных полей: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 xml:space="preserve">2.1. тип документа (полис, паспорт, др.), 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2.2. серия и номер полиса ОМС,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 xml:space="preserve">2.3. наименование СМО, </w:t>
      </w:r>
      <w:proofErr w:type="gramStart"/>
      <w:r w:rsidRPr="00214CA7">
        <w:rPr>
          <w:kern w:val="24"/>
          <w:sz w:val="24"/>
          <w:szCs w:val="24"/>
        </w:rPr>
        <w:t>выдавшей</w:t>
      </w:r>
      <w:proofErr w:type="gramEnd"/>
      <w:r w:rsidRPr="00214CA7">
        <w:rPr>
          <w:kern w:val="24"/>
          <w:sz w:val="24"/>
          <w:szCs w:val="24"/>
        </w:rPr>
        <w:t xml:space="preserve"> полис ОМС,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 xml:space="preserve">2.4. страховой статус (застрахован, иногородний…), 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2.5. фамилия, имя, отчество (полностью в разных полях),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2.6. пол (мужской, женский),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2.7. дата рождения (число, месяц, год),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2.8.  № группы КСГ,</w:t>
      </w:r>
      <w:r w:rsidR="008F4CD5">
        <w:rPr>
          <w:kern w:val="24"/>
          <w:sz w:val="24"/>
          <w:szCs w:val="24"/>
        </w:rPr>
        <w:t xml:space="preserve"> </w:t>
      </w:r>
      <w:r w:rsidRPr="00214CA7">
        <w:rPr>
          <w:kern w:val="24"/>
          <w:sz w:val="24"/>
          <w:szCs w:val="24"/>
        </w:rPr>
        <w:t>код вида ВМП,</w:t>
      </w:r>
    </w:p>
    <w:p w:rsidR="00595EF7" w:rsidRPr="00214CA7" w:rsidRDefault="00595EF7" w:rsidP="00595EF7">
      <w:pPr>
        <w:pStyle w:val="a0"/>
        <w:tabs>
          <w:tab w:val="center" w:pos="5312"/>
        </w:tabs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2.9. код по МКБ-10,</w:t>
      </w:r>
    </w:p>
    <w:p w:rsidR="00595EF7" w:rsidRPr="00C03FA0" w:rsidRDefault="00595EF7" w:rsidP="00595EF7">
      <w:pPr>
        <w:pStyle w:val="a0"/>
        <w:ind w:firstLine="709"/>
        <w:jc w:val="both"/>
        <w:rPr>
          <w:color w:val="auto"/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2.10</w:t>
      </w:r>
      <w:r w:rsidRPr="00C03FA0">
        <w:rPr>
          <w:color w:val="auto"/>
          <w:kern w:val="24"/>
          <w:sz w:val="24"/>
          <w:szCs w:val="24"/>
        </w:rPr>
        <w:t xml:space="preserve">. код </w:t>
      </w:r>
      <w:r w:rsidR="008F4CD5" w:rsidRPr="00C03FA0">
        <w:rPr>
          <w:color w:val="auto"/>
          <w:kern w:val="24"/>
          <w:sz w:val="24"/>
          <w:szCs w:val="24"/>
        </w:rPr>
        <w:t>хирургической операции и/или другой применяемой медицинской технологии,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2.11. код поликлиники по месту прикрепления пациента,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2.12. номер истории болезни (карточки отказа),</w:t>
      </w:r>
    </w:p>
    <w:p w:rsidR="00595EF7" w:rsidRPr="00214CA7" w:rsidRDefault="00595EF7" w:rsidP="00595EF7">
      <w:pPr>
        <w:pStyle w:val="a0"/>
        <w:tabs>
          <w:tab w:val="left" w:pos="9415"/>
        </w:tabs>
        <w:ind w:firstLine="709"/>
        <w:jc w:val="both"/>
        <w:rPr>
          <w:kern w:val="24"/>
          <w:sz w:val="24"/>
          <w:szCs w:val="24"/>
        </w:rPr>
      </w:pPr>
      <w:proofErr w:type="gramStart"/>
      <w:r w:rsidRPr="00214CA7">
        <w:rPr>
          <w:kern w:val="24"/>
          <w:sz w:val="24"/>
          <w:szCs w:val="24"/>
        </w:rPr>
        <w:t>2.13. исход госпитализации (выздоровление, улучшение, без перемен, ухудшение, смерть, самовольный уход, переведен, другое, отказ от (в) госпитализации) – с указанием причины отказа (нет мест, отказ, амбулаторный больной, не профильный, консультация, прочие) – при заполнении сведений о медицинской помощи, оказанной в приемном отделении по карточкам отказа,</w:t>
      </w:r>
      <w:proofErr w:type="gramEnd"/>
    </w:p>
    <w:p w:rsidR="00595EF7" w:rsidRPr="00214CA7" w:rsidRDefault="00595EF7" w:rsidP="00595EF7">
      <w:pPr>
        <w:pStyle w:val="a0"/>
        <w:tabs>
          <w:tab w:val="left" w:pos="9415"/>
        </w:tabs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 xml:space="preserve">2.14. код доставки (экстренно, </w:t>
      </w:r>
      <w:proofErr w:type="spellStart"/>
      <w:r w:rsidRPr="00214CA7">
        <w:rPr>
          <w:kern w:val="24"/>
          <w:sz w:val="24"/>
          <w:szCs w:val="24"/>
        </w:rPr>
        <w:t>планово</w:t>
      </w:r>
      <w:proofErr w:type="spellEnd"/>
      <w:r w:rsidRPr="00214CA7">
        <w:rPr>
          <w:kern w:val="24"/>
          <w:sz w:val="24"/>
          <w:szCs w:val="24"/>
        </w:rPr>
        <w:t>),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2.15. кем направлен больной (медицинской организацией, оказывающей первичную медико-санитарную помощь в амбулаторных условиях; другой медицинской организацией, оказывающей специализированную медицинскую помощь в стационарных условиях; машиной скорой медицинской помощи др.),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2.16. код медицинской организации, направившей больного,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2.17. код госпитализации (первично, повторно),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proofErr w:type="gramStart"/>
      <w:r w:rsidRPr="00214CA7">
        <w:rPr>
          <w:kern w:val="24"/>
          <w:sz w:val="24"/>
          <w:szCs w:val="24"/>
        </w:rPr>
        <w:t>2.18. дата поступления больного в отделение (число, номер месяца и год (полностью),</w:t>
      </w:r>
      <w:proofErr w:type="gramEnd"/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proofErr w:type="gramStart"/>
      <w:r w:rsidRPr="00214CA7">
        <w:rPr>
          <w:kern w:val="24"/>
          <w:sz w:val="24"/>
          <w:szCs w:val="24"/>
        </w:rPr>
        <w:t xml:space="preserve">2.19. дата выписки застрахованного лица из отделения (число, номер месяца и год (полностью), </w:t>
      </w:r>
      <w:proofErr w:type="gramEnd"/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2.20. дополнительные признаки: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1) уход за ребенком (1) – для заполнения в случае осуществления ухода за госпитализированным ребенком одним из родителей (законным представителем),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 xml:space="preserve">2) травма (0 </w:t>
      </w:r>
      <w:r w:rsidR="004D448D" w:rsidRPr="00214CA7">
        <w:rPr>
          <w:kern w:val="24"/>
          <w:sz w:val="24"/>
          <w:szCs w:val="24"/>
        </w:rPr>
        <w:t>–</w:t>
      </w:r>
      <w:r w:rsidRPr="00214CA7">
        <w:rPr>
          <w:kern w:val="24"/>
          <w:sz w:val="24"/>
          <w:szCs w:val="24"/>
        </w:rPr>
        <w:t xml:space="preserve"> отсутствует, 1-бытовая, 2 </w:t>
      </w:r>
      <w:r w:rsidR="004D448D" w:rsidRPr="00214CA7">
        <w:rPr>
          <w:kern w:val="24"/>
          <w:sz w:val="24"/>
          <w:szCs w:val="24"/>
        </w:rPr>
        <w:t>–</w:t>
      </w:r>
      <w:r w:rsidRPr="00214CA7">
        <w:rPr>
          <w:kern w:val="24"/>
          <w:sz w:val="24"/>
          <w:szCs w:val="24"/>
        </w:rPr>
        <w:t xml:space="preserve"> на производстве),</w:t>
      </w:r>
    </w:p>
    <w:p w:rsidR="00595EF7" w:rsidRPr="00214CA7" w:rsidRDefault="00595EF7" w:rsidP="00595EF7">
      <w:pPr>
        <w:pStyle w:val="a0"/>
        <w:ind w:firstLine="709"/>
        <w:jc w:val="both"/>
        <w:rPr>
          <w:kern w:val="24"/>
          <w:sz w:val="24"/>
          <w:szCs w:val="24"/>
        </w:rPr>
      </w:pPr>
      <w:r w:rsidRPr="00214CA7">
        <w:rPr>
          <w:kern w:val="24"/>
          <w:sz w:val="24"/>
          <w:szCs w:val="24"/>
        </w:rPr>
        <w:t>3) признак экстренного хирургического вмешательства (в случае оказания медицинской помощи хирургического профиля по экстренным показаниям детям при отсутствии лицензии на детскую хирургию),</w:t>
      </w:r>
    </w:p>
    <w:p w:rsidR="00595EF7" w:rsidRPr="00BD598A" w:rsidRDefault="00595EF7" w:rsidP="00595EF7">
      <w:pPr>
        <w:pStyle w:val="a0"/>
        <w:ind w:firstLine="709"/>
        <w:jc w:val="both"/>
        <w:rPr>
          <w:color w:val="auto"/>
          <w:kern w:val="24"/>
          <w:sz w:val="24"/>
          <w:szCs w:val="24"/>
        </w:rPr>
      </w:pPr>
      <w:r w:rsidRPr="00BD598A">
        <w:rPr>
          <w:color w:val="auto"/>
          <w:kern w:val="24"/>
          <w:sz w:val="24"/>
          <w:szCs w:val="24"/>
        </w:rPr>
        <w:t>2.2</w:t>
      </w:r>
      <w:r w:rsidR="003D5B8C" w:rsidRPr="00BD598A">
        <w:rPr>
          <w:color w:val="auto"/>
          <w:kern w:val="24"/>
          <w:sz w:val="24"/>
          <w:szCs w:val="24"/>
        </w:rPr>
        <w:t>1</w:t>
      </w:r>
      <w:r w:rsidRPr="00BD598A">
        <w:rPr>
          <w:color w:val="auto"/>
          <w:kern w:val="24"/>
          <w:sz w:val="24"/>
          <w:szCs w:val="24"/>
        </w:rPr>
        <w:t>. Фо</w:t>
      </w:r>
      <w:r w:rsidR="00BD598A">
        <w:rPr>
          <w:color w:val="auto"/>
          <w:kern w:val="24"/>
          <w:sz w:val="24"/>
          <w:szCs w:val="24"/>
        </w:rPr>
        <w:t>рмы оказания медицинской помощи (экстренная, неотложная, плановая).</w:t>
      </w:r>
    </w:p>
    <w:p w:rsidR="00E27CA0" w:rsidRPr="008F4CD5" w:rsidRDefault="00E27CA0" w:rsidP="00595EF7">
      <w:pPr>
        <w:pStyle w:val="a0"/>
        <w:ind w:firstLine="709"/>
        <w:jc w:val="both"/>
        <w:rPr>
          <w:color w:val="FF0000"/>
          <w:sz w:val="24"/>
          <w:szCs w:val="24"/>
        </w:rPr>
      </w:pPr>
    </w:p>
    <w:p w:rsidR="00E27CA0" w:rsidRPr="00214CA7" w:rsidRDefault="00595EF7" w:rsidP="00E27CA0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3. </w:t>
      </w:r>
      <w:proofErr w:type="gramStart"/>
      <w:r w:rsidR="00E27CA0"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Формирование групп КСГ осуществляется с учетом сочетания диагноза, операции и используемой медицинской технологии на основании кода основного (клинического) диагноза в соответствии со справочником МКБ 10 или по коду хирургической операции в соответствии с </w:t>
      </w:r>
      <w:hyperlink r:id="rId8" w:history="1">
        <w:r w:rsidR="00E27CA0" w:rsidRPr="00214CA7">
          <w:rPr>
            <w:rFonts w:ascii="Times New Roman" w:eastAsia="Times New Roman" w:hAnsi="Times New Roman"/>
            <w:color w:val="000000"/>
            <w:kern w:val="24"/>
            <w:sz w:val="24"/>
            <w:szCs w:val="24"/>
            <w:u w:color="000000"/>
            <w:bdr w:val="nil"/>
            <w:lang w:eastAsia="ru-RU"/>
          </w:rPr>
          <w:t>номенклатурой</w:t>
        </w:r>
      </w:hyperlink>
      <w:r w:rsidR="00E27CA0"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услуг, утвержденной приказом Министерства здравоохранения и социального развития Российской Федерации от 27 декабря 2011 г. № 1664н (в редакции приказа Министерства здравоохранения Российской Федерации от 28.10.2013 года</w:t>
      </w:r>
      <w:proofErr w:type="gramEnd"/>
      <w:r w:rsidR="00E27CA0"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№ </w:t>
      </w:r>
      <w:proofErr w:type="gramStart"/>
      <w:r w:rsidR="00E27CA0"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794н).</w:t>
      </w:r>
      <w:proofErr w:type="gramEnd"/>
    </w:p>
    <w:p w:rsidR="00595EF7" w:rsidRPr="00214CA7" w:rsidRDefault="00595EF7" w:rsidP="00E27CA0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Формирование КСГ осуществляется на основе совокупности следующих основных и дополнительных критериев группировки при формировании КСГ:</w:t>
      </w:r>
    </w:p>
    <w:p w:rsidR="00595EF7" w:rsidRPr="00214CA7" w:rsidRDefault="00595EF7" w:rsidP="00595EF7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основные критерии:</w:t>
      </w:r>
    </w:p>
    <w:p w:rsidR="00595EF7" w:rsidRPr="00214CA7" w:rsidRDefault="00595EF7" w:rsidP="00595EF7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- код диагноза по </w:t>
      </w:r>
      <w:hyperlink r:id="rId9" w:history="1">
        <w:r w:rsidRPr="00214CA7">
          <w:rPr>
            <w:rFonts w:ascii="Times New Roman" w:eastAsia="Times New Roman" w:hAnsi="Times New Roman"/>
            <w:color w:val="000000"/>
            <w:kern w:val="24"/>
            <w:sz w:val="24"/>
            <w:szCs w:val="24"/>
            <w:u w:color="000000"/>
            <w:bdr w:val="nil"/>
            <w:lang w:eastAsia="ru-RU"/>
          </w:rPr>
          <w:t>МКБ-10</w:t>
        </w:r>
      </w:hyperlink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;</w:t>
      </w:r>
    </w:p>
    <w:p w:rsidR="00595EF7" w:rsidRPr="00214CA7" w:rsidRDefault="00595EF7" w:rsidP="00595EF7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код хирургической операции и/или другой применяемой медицинской технологии;</w:t>
      </w:r>
    </w:p>
    <w:p w:rsidR="00595EF7" w:rsidRPr="00214CA7" w:rsidRDefault="00595EF7" w:rsidP="00595EF7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дополнительные критерии:</w:t>
      </w:r>
    </w:p>
    <w:p w:rsidR="008F4CD5" w:rsidRPr="008F4CD5" w:rsidRDefault="00595EF7" w:rsidP="008F4CD5">
      <w:pPr>
        <w:pStyle w:val="a0"/>
        <w:ind w:firstLine="709"/>
        <w:jc w:val="both"/>
        <w:rPr>
          <w:color w:val="FF0000"/>
          <w:sz w:val="24"/>
          <w:szCs w:val="24"/>
        </w:rPr>
      </w:pPr>
      <w:r w:rsidRPr="00214CA7">
        <w:rPr>
          <w:kern w:val="24"/>
          <w:sz w:val="24"/>
          <w:szCs w:val="24"/>
        </w:rPr>
        <w:t>- код диагноза (при основном критерии группировки – код хирургической операции и/или другой применяемой медицинской технологии);</w:t>
      </w:r>
    </w:p>
    <w:p w:rsidR="008F4CD5" w:rsidRPr="008F4CD5" w:rsidRDefault="00595EF7" w:rsidP="008F4CD5">
      <w:pPr>
        <w:pStyle w:val="a0"/>
        <w:ind w:firstLine="709"/>
        <w:jc w:val="both"/>
        <w:rPr>
          <w:color w:val="FF0000"/>
          <w:sz w:val="24"/>
          <w:szCs w:val="24"/>
        </w:rPr>
      </w:pPr>
      <w:r w:rsidRPr="00214CA7">
        <w:rPr>
          <w:kern w:val="24"/>
          <w:sz w:val="24"/>
          <w:szCs w:val="24"/>
        </w:rPr>
        <w:t>- код хирургической операции и/или другой применяемой медицинской технологии (при основном критерии группировки – код диагноза</w:t>
      </w:r>
      <w:proofErr w:type="gramStart"/>
      <w:r w:rsidRPr="00214CA7">
        <w:rPr>
          <w:kern w:val="24"/>
          <w:sz w:val="24"/>
          <w:szCs w:val="24"/>
        </w:rPr>
        <w:t>);</w:t>
      </w:r>
      <w:r w:rsidR="008F4CD5" w:rsidRPr="008F4CD5">
        <w:rPr>
          <w:kern w:val="24"/>
          <w:sz w:val="24"/>
          <w:szCs w:val="24"/>
        </w:rPr>
        <w:t xml:space="preserve"> </w:t>
      </w:r>
      <w:r w:rsidR="008F4CD5" w:rsidRPr="00214CA7">
        <w:rPr>
          <w:kern w:val="24"/>
          <w:sz w:val="24"/>
          <w:szCs w:val="24"/>
        </w:rPr>
        <w:t>);</w:t>
      </w:r>
      <w:proofErr w:type="gramEnd"/>
    </w:p>
    <w:p w:rsidR="00595EF7" w:rsidRPr="00214CA7" w:rsidRDefault="00595EF7" w:rsidP="00595EF7">
      <w:pPr>
        <w:pStyle w:val="a9"/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пол пациента;</w:t>
      </w:r>
    </w:p>
    <w:p w:rsidR="00595EF7" w:rsidRPr="00214CA7" w:rsidRDefault="00595EF7" w:rsidP="00595EF7">
      <w:pPr>
        <w:pStyle w:val="a9"/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возраст пациента;</w:t>
      </w:r>
    </w:p>
    <w:p w:rsidR="00595EF7" w:rsidRPr="00214CA7" w:rsidRDefault="00595EF7" w:rsidP="00595EF7">
      <w:pPr>
        <w:pStyle w:val="a9"/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длительность пребывания в стационаре.</w:t>
      </w:r>
    </w:p>
    <w:p w:rsidR="00595EF7" w:rsidRPr="00C03FA0" w:rsidRDefault="00595EF7" w:rsidP="00C03FA0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C03FA0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КСГ подразделяются на три подгруппы: хирургические (включающие операции), терапевтические и комбинированные.</w:t>
      </w:r>
    </w:p>
    <w:p w:rsidR="00595EF7" w:rsidRPr="00214CA7" w:rsidRDefault="00595EF7" w:rsidP="00D31B55">
      <w:pPr>
        <w:pStyle w:val="a0"/>
        <w:ind w:firstLine="709"/>
        <w:jc w:val="both"/>
        <w:rPr>
          <w:kern w:val="24"/>
          <w:sz w:val="24"/>
          <w:szCs w:val="24"/>
        </w:rPr>
      </w:pPr>
      <w:proofErr w:type="gramStart"/>
      <w:r w:rsidRPr="00214CA7">
        <w:rPr>
          <w:kern w:val="24"/>
          <w:sz w:val="24"/>
          <w:szCs w:val="24"/>
        </w:rPr>
        <w:t xml:space="preserve">Группировка случаев заболеваний в КСГ осуществляется в соответствии с Методическими рекомендациями по способам оплаты медицинской помощи за счет средств обязательного медицинского страхования, </w:t>
      </w:r>
      <w:r w:rsidRPr="00D31B55">
        <w:rPr>
          <w:kern w:val="24"/>
          <w:sz w:val="24"/>
          <w:szCs w:val="24"/>
        </w:rPr>
        <w:t>направленным</w:t>
      </w:r>
      <w:r w:rsidR="008F4CD5" w:rsidRPr="00D31B55">
        <w:rPr>
          <w:kern w:val="24"/>
          <w:sz w:val="24"/>
          <w:szCs w:val="24"/>
        </w:rPr>
        <w:t>и</w:t>
      </w:r>
      <w:r w:rsidRPr="00D31B55">
        <w:rPr>
          <w:kern w:val="24"/>
          <w:sz w:val="24"/>
          <w:szCs w:val="24"/>
        </w:rPr>
        <w:t xml:space="preserve"> письмом Мин</w:t>
      </w:r>
      <w:r w:rsidR="001F3469" w:rsidRPr="00D31B55">
        <w:rPr>
          <w:kern w:val="24"/>
          <w:sz w:val="24"/>
          <w:szCs w:val="24"/>
        </w:rPr>
        <w:t xml:space="preserve">истерства здравоохранения </w:t>
      </w:r>
      <w:r w:rsidRPr="00D31B55">
        <w:rPr>
          <w:kern w:val="24"/>
          <w:sz w:val="24"/>
          <w:szCs w:val="24"/>
        </w:rPr>
        <w:t>Росс</w:t>
      </w:r>
      <w:r w:rsidR="001F3469" w:rsidRPr="00D31B55">
        <w:rPr>
          <w:kern w:val="24"/>
          <w:sz w:val="24"/>
          <w:szCs w:val="24"/>
        </w:rPr>
        <w:t>ийской Федерации</w:t>
      </w:r>
      <w:r w:rsidRPr="00D31B55">
        <w:rPr>
          <w:kern w:val="24"/>
          <w:sz w:val="24"/>
          <w:szCs w:val="24"/>
        </w:rPr>
        <w:t xml:space="preserve"> от </w:t>
      </w:r>
      <w:r w:rsidR="00FD2A17" w:rsidRPr="00D31B55">
        <w:rPr>
          <w:kern w:val="24"/>
          <w:sz w:val="24"/>
          <w:szCs w:val="24"/>
        </w:rPr>
        <w:t>24</w:t>
      </w:r>
      <w:r w:rsidRPr="00D31B55">
        <w:rPr>
          <w:kern w:val="24"/>
          <w:sz w:val="24"/>
          <w:szCs w:val="24"/>
        </w:rPr>
        <w:t>.12.201</w:t>
      </w:r>
      <w:r w:rsidR="00FD2A17" w:rsidRPr="00D31B55">
        <w:rPr>
          <w:kern w:val="24"/>
          <w:sz w:val="24"/>
          <w:szCs w:val="24"/>
        </w:rPr>
        <w:t>5</w:t>
      </w:r>
      <w:r w:rsidR="001F3469" w:rsidRPr="00D31B55">
        <w:rPr>
          <w:kern w:val="24"/>
          <w:sz w:val="24"/>
          <w:szCs w:val="24"/>
        </w:rPr>
        <w:t xml:space="preserve"> N 11-</w:t>
      </w:r>
      <w:r w:rsidRPr="00D31B55">
        <w:rPr>
          <w:kern w:val="24"/>
          <w:sz w:val="24"/>
          <w:szCs w:val="24"/>
        </w:rPr>
        <w:t>9/10/2-</w:t>
      </w:r>
      <w:r w:rsidR="00FD2A17" w:rsidRPr="00D31B55">
        <w:rPr>
          <w:kern w:val="24"/>
          <w:sz w:val="24"/>
          <w:szCs w:val="24"/>
        </w:rPr>
        <w:t xml:space="preserve">7938 </w:t>
      </w:r>
      <w:r w:rsidR="001F3469" w:rsidRPr="00D31B55">
        <w:rPr>
          <w:kern w:val="24"/>
          <w:sz w:val="24"/>
          <w:szCs w:val="24"/>
        </w:rPr>
        <w:t>и Федерального фонда обязательного медицинского страхования</w:t>
      </w:r>
      <w:r w:rsidR="00FD2A17" w:rsidRPr="00D31B55">
        <w:rPr>
          <w:kern w:val="24"/>
          <w:sz w:val="24"/>
          <w:szCs w:val="24"/>
        </w:rPr>
        <w:t xml:space="preserve"> №8089/21-и</w:t>
      </w:r>
      <w:r w:rsidR="008F4CD5">
        <w:rPr>
          <w:kern w:val="24"/>
          <w:sz w:val="24"/>
          <w:szCs w:val="24"/>
        </w:rPr>
        <w:t xml:space="preserve"> </w:t>
      </w:r>
      <w:r w:rsidR="008F4CD5" w:rsidRPr="00D31B55">
        <w:rPr>
          <w:kern w:val="24"/>
          <w:sz w:val="24"/>
          <w:szCs w:val="24"/>
        </w:rPr>
        <w:t>(далее – Методические рекомендации),</w:t>
      </w:r>
      <w:r w:rsidRPr="00D31B55">
        <w:rPr>
          <w:kern w:val="24"/>
          <w:sz w:val="24"/>
          <w:szCs w:val="24"/>
        </w:rPr>
        <w:t xml:space="preserve"> </w:t>
      </w:r>
      <w:r w:rsidRPr="00214CA7">
        <w:rPr>
          <w:kern w:val="24"/>
          <w:sz w:val="24"/>
          <w:szCs w:val="24"/>
        </w:rPr>
        <w:t>по вышеперечисленным критериям в соответствии со Справочниками:</w:t>
      </w:r>
      <w:proofErr w:type="gramEnd"/>
      <w:r w:rsidR="00FD2A17">
        <w:rPr>
          <w:kern w:val="24"/>
          <w:sz w:val="24"/>
          <w:szCs w:val="24"/>
        </w:rPr>
        <w:t xml:space="preserve"> </w:t>
      </w:r>
      <w:r w:rsidRPr="00D31B55">
        <w:rPr>
          <w:kern w:val="24"/>
          <w:sz w:val="24"/>
          <w:szCs w:val="24"/>
        </w:rPr>
        <w:t>«КСГ</w:t>
      </w:r>
      <w:r w:rsidR="00116A54" w:rsidRPr="00D31B55">
        <w:rPr>
          <w:kern w:val="24"/>
          <w:sz w:val="24"/>
          <w:szCs w:val="24"/>
        </w:rPr>
        <w:t>», «</w:t>
      </w:r>
      <w:proofErr w:type="spellStart"/>
      <w:r w:rsidR="00116A54" w:rsidRPr="00D31B55">
        <w:rPr>
          <w:kern w:val="24"/>
          <w:sz w:val="24"/>
          <w:szCs w:val="24"/>
        </w:rPr>
        <w:t>Группировщик</w:t>
      </w:r>
      <w:proofErr w:type="spellEnd"/>
      <w:r w:rsidR="00116A54" w:rsidRPr="00D31B55">
        <w:rPr>
          <w:kern w:val="24"/>
          <w:sz w:val="24"/>
          <w:szCs w:val="24"/>
        </w:rPr>
        <w:t xml:space="preserve">», «Номенклатура», </w:t>
      </w:r>
      <w:r w:rsidRPr="00D31B55">
        <w:rPr>
          <w:kern w:val="24"/>
          <w:sz w:val="24"/>
          <w:szCs w:val="24"/>
        </w:rPr>
        <w:t>«</w:t>
      </w:r>
      <w:proofErr w:type="spellStart"/>
      <w:r w:rsidRPr="00D31B55">
        <w:rPr>
          <w:kern w:val="24"/>
          <w:sz w:val="24"/>
          <w:szCs w:val="24"/>
        </w:rPr>
        <w:t>Группировщик</w:t>
      </w:r>
      <w:proofErr w:type="spellEnd"/>
      <w:r w:rsidR="00116A54" w:rsidRPr="00D31B55">
        <w:rPr>
          <w:kern w:val="24"/>
          <w:sz w:val="24"/>
          <w:szCs w:val="24"/>
        </w:rPr>
        <w:t xml:space="preserve"> </w:t>
      </w:r>
      <w:proofErr w:type="gramStart"/>
      <w:r w:rsidRPr="00D31B55">
        <w:rPr>
          <w:kern w:val="24"/>
          <w:sz w:val="24"/>
          <w:szCs w:val="24"/>
        </w:rPr>
        <w:t>детальный</w:t>
      </w:r>
      <w:proofErr w:type="gramEnd"/>
      <w:r w:rsidRPr="00D31B55">
        <w:rPr>
          <w:kern w:val="24"/>
          <w:sz w:val="24"/>
          <w:szCs w:val="24"/>
        </w:rPr>
        <w:t>» и т.д.,</w:t>
      </w:r>
      <w:r w:rsidR="00D31B55" w:rsidRPr="00D31B55">
        <w:rPr>
          <w:kern w:val="24"/>
          <w:sz w:val="24"/>
          <w:szCs w:val="24"/>
        </w:rPr>
        <w:t xml:space="preserve"> </w:t>
      </w:r>
      <w:r w:rsidRPr="00D31B55">
        <w:rPr>
          <w:kern w:val="24"/>
          <w:sz w:val="24"/>
          <w:szCs w:val="24"/>
        </w:rPr>
        <w:t>представленными в электронном виде (таблицы 1-</w:t>
      </w:r>
      <w:r w:rsidR="00116A54" w:rsidRPr="00D31B55">
        <w:rPr>
          <w:kern w:val="24"/>
          <w:sz w:val="24"/>
          <w:szCs w:val="24"/>
        </w:rPr>
        <w:t>6</w:t>
      </w:r>
      <w:r w:rsidRPr="00D31B55">
        <w:rPr>
          <w:kern w:val="24"/>
          <w:sz w:val="24"/>
          <w:szCs w:val="24"/>
        </w:rPr>
        <w:t>).</w:t>
      </w:r>
    </w:p>
    <w:p w:rsidR="00595EF7" w:rsidRPr="00214CA7" w:rsidRDefault="00595EF7" w:rsidP="001742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В случае если пациенту оказывалось оперативное лечение, и </w:t>
      </w:r>
      <w:proofErr w:type="spellStart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затратоемкость</w:t>
      </w:r>
      <w:proofErr w:type="spellEnd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хирургической группы, к которой был отнесен данный случай меньше </w:t>
      </w:r>
      <w:proofErr w:type="spellStart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затратоемкости</w:t>
      </w:r>
      <w:proofErr w:type="spellEnd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терапевтической группы, к которой его можно было отнести в соответствии с кодом МКБ-10, оплата осуществляется по терапевтической группе.</w:t>
      </w:r>
    </w:p>
    <w:p w:rsidR="00595EF7" w:rsidRPr="00214CA7" w:rsidRDefault="00595EF7" w:rsidP="00174262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Формирование комбинированных групп осуществляется с учетом сочетания диагноза, операции и используемой медицинской технологии.</w:t>
      </w:r>
      <w:r w:rsidR="00E27CA0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</w:t>
      </w: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Если в рамках одного случая лечения пациенту было оказано несколько хирургических вмешательств, оплата осуществляется по клинико-статистической группе заболеваний, которая имеет более высокий коэффициент относительной </w:t>
      </w:r>
      <w:proofErr w:type="spellStart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затратоемкости</w:t>
      </w:r>
      <w:proofErr w:type="spellEnd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. </w:t>
      </w:r>
    </w:p>
    <w:p w:rsidR="00595EF7" w:rsidRPr="00214CA7" w:rsidRDefault="00595EF7" w:rsidP="001742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 xml:space="preserve">Расчет стоимости законченного случая лечения в рамках системы КСГ </w:t>
      </w:r>
      <w:r w:rsidR="004D448D" w:rsidRPr="00214CA7">
        <w:rPr>
          <w:sz w:val="24"/>
          <w:szCs w:val="24"/>
        </w:rPr>
        <w:t>–</w:t>
      </w:r>
      <w:r w:rsidRPr="00214CA7">
        <w:rPr>
          <w:sz w:val="24"/>
          <w:szCs w:val="24"/>
        </w:rPr>
        <w:t xml:space="preserve"> заболеваний осуществляется на основе следующих экономических параметров:</w:t>
      </w:r>
    </w:p>
    <w:p w:rsidR="00595EF7" w:rsidRPr="00214CA7" w:rsidRDefault="00595EF7" w:rsidP="0017426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>1. Базовая ставка финансирования медицинской помощи (БС);</w:t>
      </w:r>
    </w:p>
    <w:p w:rsidR="00595EF7" w:rsidRPr="00214CA7" w:rsidRDefault="00595EF7" w:rsidP="001742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hAnsi="Times New Roman"/>
          <w:sz w:val="24"/>
          <w:szCs w:val="24"/>
        </w:rPr>
        <w:t>2. К</w:t>
      </w: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оэффициент </w:t>
      </w:r>
      <w:proofErr w:type="gramStart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относительной</w:t>
      </w:r>
      <w:proofErr w:type="gramEnd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</w:t>
      </w:r>
      <w:proofErr w:type="spellStart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затратоемкости</w:t>
      </w:r>
      <w:proofErr w:type="spellEnd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(</w:t>
      </w:r>
      <w:proofErr w:type="spellStart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КЗксг</w:t>
      </w:r>
      <w:proofErr w:type="spellEnd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);</w:t>
      </w:r>
    </w:p>
    <w:p w:rsidR="00595EF7" w:rsidRPr="00214CA7" w:rsidRDefault="00595EF7" w:rsidP="001742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3. Поправочные коэффициенты оплаты КСГ:</w:t>
      </w:r>
    </w:p>
    <w:p w:rsidR="00595EF7" w:rsidRPr="00E27CA0" w:rsidRDefault="00595EF7" w:rsidP="001742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CA0">
        <w:rPr>
          <w:rFonts w:ascii="Times New Roman" w:eastAsia="Times New Roman" w:hAnsi="Times New Roman"/>
          <w:sz w:val="24"/>
          <w:szCs w:val="24"/>
          <w:lang w:eastAsia="ru-RU"/>
        </w:rPr>
        <w:t xml:space="preserve">- коэффициент </w:t>
      </w:r>
      <w:r w:rsidR="00116A54" w:rsidRPr="00E27CA0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E27CA0">
        <w:rPr>
          <w:rFonts w:ascii="Times New Roman" w:eastAsia="Times New Roman" w:hAnsi="Times New Roman"/>
          <w:sz w:val="24"/>
          <w:szCs w:val="24"/>
          <w:lang w:eastAsia="ru-RU"/>
        </w:rPr>
        <w:t>уровня оказания стационарной медицинской помощи (</w:t>
      </w:r>
      <w:proofErr w:type="spellStart"/>
      <w:r w:rsidRPr="00E27CA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16A54" w:rsidRPr="00E27CA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27CA0">
        <w:rPr>
          <w:rFonts w:ascii="Times New Roman" w:eastAsia="Times New Roman" w:hAnsi="Times New Roman"/>
          <w:sz w:val="24"/>
          <w:szCs w:val="24"/>
          <w:lang w:eastAsia="ru-RU"/>
        </w:rPr>
        <w:t>УС</w:t>
      </w:r>
      <w:r w:rsidR="00E21FB9" w:rsidRPr="00E27CA0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proofErr w:type="spellEnd"/>
      <w:r w:rsidRPr="00E27CA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95EF7" w:rsidRPr="00214CA7" w:rsidRDefault="00595EF7" w:rsidP="001742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управленческий коэффициент (</w:t>
      </w:r>
      <w:proofErr w:type="spellStart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К</w:t>
      </w:r>
      <w:r w:rsidR="004D448D"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у</w:t>
      </w: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ксг</w:t>
      </w:r>
      <w:proofErr w:type="spellEnd"/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);</w:t>
      </w:r>
    </w:p>
    <w:p w:rsidR="00595EF7" w:rsidRPr="00E27CA0" w:rsidRDefault="00595EF7" w:rsidP="00595EF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7CA0">
        <w:rPr>
          <w:rFonts w:ascii="Times New Roman" w:hAnsi="Times New Roman"/>
          <w:sz w:val="24"/>
          <w:szCs w:val="24"/>
        </w:rPr>
        <w:t xml:space="preserve">- коэффициент сложности </w:t>
      </w:r>
      <w:r w:rsidR="00116A54" w:rsidRPr="00E27CA0">
        <w:rPr>
          <w:rFonts w:ascii="Times New Roman" w:hAnsi="Times New Roman"/>
          <w:sz w:val="24"/>
          <w:szCs w:val="24"/>
        </w:rPr>
        <w:t>лечения</w:t>
      </w:r>
      <w:r w:rsidRPr="00E27CA0">
        <w:rPr>
          <w:rFonts w:ascii="Times New Roman" w:hAnsi="Times New Roman"/>
          <w:sz w:val="24"/>
          <w:szCs w:val="24"/>
        </w:rPr>
        <w:t xml:space="preserve"> пациента (КС</w:t>
      </w:r>
      <w:r w:rsidR="00116A54" w:rsidRPr="00E27CA0">
        <w:rPr>
          <w:rFonts w:ascii="Times New Roman" w:hAnsi="Times New Roman"/>
          <w:sz w:val="24"/>
          <w:szCs w:val="24"/>
        </w:rPr>
        <w:t>Л</w:t>
      </w:r>
      <w:r w:rsidRPr="00E27CA0">
        <w:rPr>
          <w:rFonts w:ascii="Times New Roman" w:hAnsi="Times New Roman"/>
          <w:sz w:val="24"/>
          <w:szCs w:val="24"/>
        </w:rPr>
        <w:t>П).</w:t>
      </w:r>
    </w:p>
    <w:p w:rsidR="00595EF7" w:rsidRPr="00214CA7" w:rsidRDefault="00595EF7" w:rsidP="00595EF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Размер базовой ставки финансирования стационарной помощи (БС) </w:t>
      </w:r>
      <w:r w:rsidRPr="00E27CA0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у</w:t>
      </w:r>
      <w:r w:rsidR="008F4CD5" w:rsidRPr="00E27CA0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становлен</w:t>
      </w:r>
      <w:r w:rsidRPr="00214CA7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в п.3.4.3 Тарифного соглашения</w:t>
      </w:r>
      <w:proofErr w:type="gramStart"/>
      <w:r w:rsidR="00E27CA0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.</w:t>
      </w:r>
      <w:r w:rsidRPr="00544A98">
        <w:rPr>
          <w:rFonts w:ascii="Times New Roman" w:eastAsia="Times New Roman" w:hAnsi="Times New Roman"/>
          <w:i/>
          <w:color w:val="000000"/>
          <w:kern w:val="24"/>
          <w:sz w:val="16"/>
          <w:szCs w:val="16"/>
          <w:u w:color="000000"/>
          <w:bdr w:val="nil"/>
          <w:lang w:eastAsia="ru-RU"/>
        </w:rPr>
        <w:t>.</w:t>
      </w:r>
      <w:proofErr w:type="gramEnd"/>
    </w:p>
    <w:p w:rsidR="00E27CA0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 xml:space="preserve">Коэффициент относительной </w:t>
      </w:r>
      <w:proofErr w:type="spellStart"/>
      <w:r w:rsidRPr="00214CA7">
        <w:rPr>
          <w:sz w:val="24"/>
          <w:szCs w:val="24"/>
        </w:rPr>
        <w:t>затратоемкости</w:t>
      </w:r>
      <w:proofErr w:type="spellEnd"/>
      <w:r w:rsidRPr="00214CA7">
        <w:rPr>
          <w:sz w:val="24"/>
          <w:szCs w:val="24"/>
        </w:rPr>
        <w:t xml:space="preserve"> по конкретной КСГ (</w:t>
      </w:r>
      <w:proofErr w:type="spellStart"/>
      <w:r w:rsidRPr="00214CA7">
        <w:rPr>
          <w:sz w:val="24"/>
          <w:szCs w:val="24"/>
        </w:rPr>
        <w:t>КЗксг</w:t>
      </w:r>
      <w:proofErr w:type="spellEnd"/>
      <w:r w:rsidRPr="00214CA7">
        <w:rPr>
          <w:sz w:val="24"/>
          <w:szCs w:val="24"/>
        </w:rPr>
        <w:t xml:space="preserve">) установлен </w:t>
      </w:r>
      <w:r w:rsidR="00E27CA0">
        <w:rPr>
          <w:sz w:val="24"/>
          <w:szCs w:val="24"/>
        </w:rPr>
        <w:t>Методическими рекомендациями.</w:t>
      </w:r>
    </w:p>
    <w:p w:rsidR="00595EF7" w:rsidRPr="00E27CA0" w:rsidRDefault="00595EF7" w:rsidP="00595EF7">
      <w:pPr>
        <w:tabs>
          <w:tab w:val="left" w:pos="993"/>
        </w:tabs>
        <w:ind w:firstLine="709"/>
        <w:jc w:val="both"/>
        <w:rPr>
          <w:color w:val="000000"/>
          <w:kern w:val="24"/>
          <w:sz w:val="24"/>
          <w:szCs w:val="24"/>
          <w:u w:color="000000"/>
          <w:bdr w:val="nil"/>
        </w:rPr>
      </w:pPr>
      <w:r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Распределение медицинских организаций по </w:t>
      </w:r>
      <w:r w:rsidR="006D3FA0"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уровням и </w:t>
      </w:r>
      <w:r w:rsidR="00E21FB9" w:rsidRPr="00E27CA0">
        <w:rPr>
          <w:color w:val="000000"/>
          <w:kern w:val="24"/>
          <w:sz w:val="24"/>
          <w:szCs w:val="24"/>
          <w:u w:color="000000"/>
          <w:bdr w:val="nil"/>
        </w:rPr>
        <w:t>под</w:t>
      </w:r>
      <w:r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уровням оказания стационарной помощи </w:t>
      </w:r>
      <w:r w:rsidR="00FC5710" w:rsidRPr="00E27CA0">
        <w:rPr>
          <w:color w:val="000000"/>
          <w:kern w:val="24"/>
          <w:sz w:val="24"/>
          <w:szCs w:val="24"/>
          <w:u w:color="000000"/>
          <w:bdr w:val="nil"/>
        </w:rPr>
        <w:t>осуществляется в соответствии с Методическими рекомендациями (Приложение</w:t>
      </w:r>
      <w:r w:rsidR="00E74608"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 7 </w:t>
      </w:r>
      <w:r w:rsidR="00FC5710"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к </w:t>
      </w:r>
      <w:r w:rsidR="00E74608" w:rsidRPr="00E27CA0">
        <w:rPr>
          <w:color w:val="000000"/>
          <w:kern w:val="24"/>
          <w:sz w:val="24"/>
          <w:szCs w:val="24"/>
          <w:u w:color="000000"/>
          <w:bdr w:val="nil"/>
        </w:rPr>
        <w:t>Тарифно</w:t>
      </w:r>
      <w:r w:rsidR="00FC5710" w:rsidRPr="00E27CA0">
        <w:rPr>
          <w:color w:val="000000"/>
          <w:kern w:val="24"/>
          <w:sz w:val="24"/>
          <w:szCs w:val="24"/>
          <w:u w:color="000000"/>
          <w:bdr w:val="nil"/>
        </w:rPr>
        <w:t>му</w:t>
      </w:r>
      <w:r w:rsidR="00E74608"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 соглашени</w:t>
      </w:r>
      <w:r w:rsidR="00FC5710" w:rsidRPr="00E27CA0">
        <w:rPr>
          <w:color w:val="000000"/>
          <w:kern w:val="24"/>
          <w:sz w:val="24"/>
          <w:szCs w:val="24"/>
          <w:u w:color="000000"/>
          <w:bdr w:val="nil"/>
        </w:rPr>
        <w:t>ю)</w:t>
      </w:r>
      <w:r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. </w:t>
      </w: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>Коэффициенты уровня оказания стационарной медицинской помощи (</w:t>
      </w:r>
      <w:proofErr w:type="spellStart"/>
      <w:r w:rsidRPr="00214CA7">
        <w:rPr>
          <w:sz w:val="24"/>
          <w:szCs w:val="24"/>
        </w:rPr>
        <w:t>К</w:t>
      </w:r>
      <w:r w:rsidR="00E21FB9">
        <w:rPr>
          <w:sz w:val="24"/>
          <w:szCs w:val="24"/>
        </w:rPr>
        <w:t>П</w:t>
      </w:r>
      <w:r w:rsidRPr="00214CA7">
        <w:rPr>
          <w:sz w:val="24"/>
          <w:szCs w:val="24"/>
        </w:rPr>
        <w:t>УСмо</w:t>
      </w:r>
      <w:proofErr w:type="spellEnd"/>
      <w:r w:rsidRPr="00214CA7">
        <w:rPr>
          <w:sz w:val="24"/>
          <w:szCs w:val="24"/>
        </w:rPr>
        <w:t xml:space="preserve">) приведены в таблице </w:t>
      </w:r>
      <w:r w:rsidR="00821C0F">
        <w:rPr>
          <w:sz w:val="24"/>
          <w:szCs w:val="24"/>
        </w:rPr>
        <w:t>7</w:t>
      </w:r>
      <w:r w:rsidRPr="00214CA7">
        <w:rPr>
          <w:sz w:val="24"/>
          <w:szCs w:val="24"/>
        </w:rPr>
        <w:t xml:space="preserve">. </w:t>
      </w:r>
    </w:p>
    <w:p w:rsidR="00595EF7" w:rsidRPr="00214CA7" w:rsidRDefault="005C400C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35331">
        <w:rPr>
          <w:sz w:val="24"/>
          <w:szCs w:val="24"/>
        </w:rPr>
        <w:t>К конкретной клинико-статистической группе по уровню оказания медицинской помощи прим</w:t>
      </w:r>
      <w:r w:rsidR="00F35331" w:rsidRPr="00F35331">
        <w:rPr>
          <w:sz w:val="24"/>
          <w:szCs w:val="24"/>
        </w:rPr>
        <w:t>е</w:t>
      </w:r>
      <w:r w:rsidRPr="00F35331">
        <w:rPr>
          <w:sz w:val="24"/>
          <w:szCs w:val="24"/>
        </w:rPr>
        <w:t>ня</w:t>
      </w:r>
      <w:r w:rsidR="00F35331" w:rsidRPr="00F35331">
        <w:rPr>
          <w:sz w:val="24"/>
          <w:szCs w:val="24"/>
        </w:rPr>
        <w:t>е</w:t>
      </w:r>
      <w:r w:rsidRPr="00F35331">
        <w:rPr>
          <w:sz w:val="24"/>
          <w:szCs w:val="24"/>
        </w:rPr>
        <w:t>т</w:t>
      </w:r>
      <w:r w:rsidR="00F35331" w:rsidRPr="00F35331">
        <w:rPr>
          <w:sz w:val="24"/>
          <w:szCs w:val="24"/>
        </w:rPr>
        <w:t xml:space="preserve">ся </w:t>
      </w:r>
      <w:r w:rsidRPr="00F35331">
        <w:rPr>
          <w:sz w:val="24"/>
          <w:szCs w:val="24"/>
        </w:rPr>
        <w:t>у</w:t>
      </w:r>
      <w:r w:rsidR="00595EF7" w:rsidRPr="00F35331">
        <w:rPr>
          <w:sz w:val="24"/>
          <w:szCs w:val="24"/>
        </w:rPr>
        <w:t>правленческий коэффициент (</w:t>
      </w:r>
      <w:proofErr w:type="spellStart"/>
      <w:r w:rsidR="00595EF7" w:rsidRPr="00F35331">
        <w:rPr>
          <w:sz w:val="24"/>
          <w:szCs w:val="24"/>
        </w:rPr>
        <w:t>К</w:t>
      </w:r>
      <w:r w:rsidR="004D448D" w:rsidRPr="00F35331">
        <w:rPr>
          <w:sz w:val="24"/>
          <w:szCs w:val="24"/>
        </w:rPr>
        <w:t>у</w:t>
      </w:r>
      <w:r w:rsidR="00595EF7" w:rsidRPr="00F35331">
        <w:rPr>
          <w:sz w:val="24"/>
          <w:szCs w:val="24"/>
        </w:rPr>
        <w:t>ксг</w:t>
      </w:r>
      <w:proofErr w:type="spellEnd"/>
      <w:r w:rsidR="00595EF7" w:rsidRPr="00F35331">
        <w:rPr>
          <w:sz w:val="24"/>
          <w:szCs w:val="24"/>
        </w:rPr>
        <w:t>)</w:t>
      </w:r>
      <w:r w:rsidR="00F35331" w:rsidRPr="00F35331">
        <w:rPr>
          <w:sz w:val="24"/>
          <w:szCs w:val="24"/>
        </w:rPr>
        <w:t xml:space="preserve"> (таблица </w:t>
      </w:r>
      <w:r w:rsidR="00821C0F">
        <w:rPr>
          <w:sz w:val="24"/>
          <w:szCs w:val="24"/>
        </w:rPr>
        <w:t>8</w:t>
      </w:r>
      <w:r w:rsidR="00F35331" w:rsidRPr="00F35331">
        <w:rPr>
          <w:sz w:val="24"/>
          <w:szCs w:val="24"/>
        </w:rPr>
        <w:t>).</w:t>
      </w:r>
    </w:p>
    <w:p w:rsidR="00595EF7" w:rsidRPr="00214CA7" w:rsidRDefault="00595EF7" w:rsidP="00F3533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lastRenderedPageBreak/>
        <w:t xml:space="preserve">Коэффициент </w:t>
      </w:r>
      <w:r w:rsidRPr="00F35331">
        <w:rPr>
          <w:sz w:val="24"/>
          <w:szCs w:val="24"/>
        </w:rPr>
        <w:t xml:space="preserve">сложности </w:t>
      </w:r>
      <w:r w:rsidR="00111302" w:rsidRPr="00F35331">
        <w:rPr>
          <w:sz w:val="24"/>
          <w:szCs w:val="24"/>
        </w:rPr>
        <w:t>лечения</w:t>
      </w:r>
      <w:r w:rsidRPr="00F35331">
        <w:rPr>
          <w:sz w:val="24"/>
          <w:szCs w:val="24"/>
        </w:rPr>
        <w:t xml:space="preserve"> пациента (КС</w:t>
      </w:r>
      <w:r w:rsidR="00111302" w:rsidRPr="00F35331">
        <w:rPr>
          <w:sz w:val="24"/>
          <w:szCs w:val="24"/>
        </w:rPr>
        <w:t>Л</w:t>
      </w:r>
      <w:r w:rsidRPr="00F35331">
        <w:rPr>
          <w:sz w:val="24"/>
          <w:szCs w:val="24"/>
        </w:rPr>
        <w:t xml:space="preserve">П) устанавливается с учетом более высокого уровня затрат на оказание медицинской помощи пациентам </w:t>
      </w:r>
      <w:r w:rsidR="00F35331" w:rsidRPr="00F35331">
        <w:rPr>
          <w:sz w:val="24"/>
          <w:szCs w:val="24"/>
        </w:rPr>
        <w:t xml:space="preserve">на основании объективных критериев </w:t>
      </w:r>
      <w:r w:rsidRPr="00F35331">
        <w:rPr>
          <w:sz w:val="24"/>
          <w:szCs w:val="24"/>
        </w:rPr>
        <w:t xml:space="preserve">(таблица </w:t>
      </w:r>
      <w:r w:rsidR="00821C0F">
        <w:rPr>
          <w:sz w:val="24"/>
          <w:szCs w:val="24"/>
        </w:rPr>
        <w:t>9</w:t>
      </w:r>
      <w:r w:rsidRPr="00F35331">
        <w:rPr>
          <w:sz w:val="24"/>
          <w:szCs w:val="24"/>
        </w:rPr>
        <w:t>).</w:t>
      </w:r>
      <w:r w:rsidR="00F35331">
        <w:rPr>
          <w:sz w:val="24"/>
          <w:szCs w:val="24"/>
        </w:rPr>
        <w:t xml:space="preserve"> Суммарное значение КСЛП при наличии нескольких критериев не может превышать 1,8 за исключением случаев </w:t>
      </w:r>
      <w:proofErr w:type="spellStart"/>
      <w:r w:rsidR="00F35331">
        <w:rPr>
          <w:sz w:val="24"/>
          <w:szCs w:val="24"/>
        </w:rPr>
        <w:t>сверхдлительной</w:t>
      </w:r>
      <w:proofErr w:type="spellEnd"/>
      <w:r w:rsidR="00F35331">
        <w:rPr>
          <w:sz w:val="24"/>
          <w:szCs w:val="24"/>
        </w:rPr>
        <w:t xml:space="preserve"> госпитализации.</w:t>
      </w:r>
    </w:p>
    <w:p w:rsidR="00595EF7" w:rsidRPr="00214CA7" w:rsidRDefault="00595EF7" w:rsidP="00595EF7">
      <w:pPr>
        <w:pStyle w:val="a9"/>
        <w:spacing w:after="0" w:line="240" w:lineRule="auto"/>
        <w:ind w:left="0" w:firstLine="993"/>
        <w:jc w:val="both"/>
        <w:rPr>
          <w:rFonts w:ascii="Times New Roman" w:eastAsia="Arial Unicode MS" w:hAnsi="Times New Roman"/>
          <w:sz w:val="24"/>
          <w:szCs w:val="24"/>
          <w:bdr w:val="nil"/>
        </w:rPr>
      </w:pP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>Стоимость одного случая госпитализации в стационаре (</w:t>
      </w:r>
      <w:proofErr w:type="spellStart"/>
      <w:r w:rsidRPr="00214CA7">
        <w:rPr>
          <w:sz w:val="24"/>
          <w:szCs w:val="24"/>
        </w:rPr>
        <w:t>ССсл</w:t>
      </w:r>
      <w:proofErr w:type="spellEnd"/>
      <w:r w:rsidRPr="00214CA7">
        <w:rPr>
          <w:sz w:val="24"/>
          <w:szCs w:val="24"/>
        </w:rPr>
        <w:t>) по КСГ определяется по следующей формуле:</w:t>
      </w: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214CA7">
        <w:rPr>
          <w:sz w:val="24"/>
          <w:szCs w:val="24"/>
        </w:rPr>
        <w:t>ССсл</w:t>
      </w:r>
      <w:proofErr w:type="spellEnd"/>
      <w:r w:rsidRPr="00214CA7">
        <w:rPr>
          <w:sz w:val="24"/>
          <w:szCs w:val="24"/>
        </w:rPr>
        <w:t>=БС*ПК                                                (1), где</w:t>
      </w: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>БС – базовая ставка финансирования стационарной медицинской помощи;</w:t>
      </w: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>ПК – поправочный коэффициент оплаты КСГ (как интегрированный коэффициент оплаты данного случая).</w:t>
      </w: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>Поправочный  коэффициент оплаты  КСГ для конкретного случая рассчитывается по следующей формуле:</w:t>
      </w:r>
    </w:p>
    <w:p w:rsidR="00595EF7" w:rsidRPr="00214CA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95EF7" w:rsidRDefault="00595EF7" w:rsidP="00595E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 xml:space="preserve">ПК = </w:t>
      </w:r>
      <w:proofErr w:type="spellStart"/>
      <w:r w:rsidRPr="00214CA7">
        <w:rPr>
          <w:sz w:val="24"/>
          <w:szCs w:val="24"/>
        </w:rPr>
        <w:t>КЗксг</w:t>
      </w:r>
      <w:proofErr w:type="spellEnd"/>
      <w:r w:rsidRPr="00214CA7">
        <w:rPr>
          <w:sz w:val="24"/>
          <w:szCs w:val="24"/>
        </w:rPr>
        <w:t xml:space="preserve"> * КУ </w:t>
      </w:r>
      <w:proofErr w:type="spellStart"/>
      <w:r w:rsidRPr="00214CA7">
        <w:rPr>
          <w:sz w:val="24"/>
          <w:szCs w:val="24"/>
        </w:rPr>
        <w:t>ксг</w:t>
      </w:r>
      <w:proofErr w:type="spellEnd"/>
      <w:r w:rsidRPr="00214CA7">
        <w:rPr>
          <w:sz w:val="24"/>
          <w:szCs w:val="24"/>
        </w:rPr>
        <w:t xml:space="preserve"> * </w:t>
      </w:r>
      <w:proofErr w:type="spellStart"/>
      <w:r w:rsidRPr="00E63953">
        <w:rPr>
          <w:sz w:val="24"/>
          <w:szCs w:val="24"/>
        </w:rPr>
        <w:t>К</w:t>
      </w:r>
      <w:r w:rsidR="00111302" w:rsidRPr="00E63953">
        <w:rPr>
          <w:sz w:val="24"/>
          <w:szCs w:val="24"/>
        </w:rPr>
        <w:t>П</w:t>
      </w:r>
      <w:r w:rsidRPr="00E63953">
        <w:rPr>
          <w:sz w:val="24"/>
          <w:szCs w:val="24"/>
        </w:rPr>
        <w:t>УСмо</w:t>
      </w:r>
      <w:proofErr w:type="spellEnd"/>
      <w:r w:rsidRPr="00E63953">
        <w:rPr>
          <w:sz w:val="24"/>
          <w:szCs w:val="24"/>
        </w:rPr>
        <w:t xml:space="preserve"> * КС</w:t>
      </w:r>
      <w:r w:rsidR="00111302" w:rsidRPr="00E63953">
        <w:rPr>
          <w:sz w:val="24"/>
          <w:szCs w:val="24"/>
        </w:rPr>
        <w:t>Л</w:t>
      </w:r>
      <w:r w:rsidRPr="00E63953">
        <w:rPr>
          <w:sz w:val="24"/>
          <w:szCs w:val="24"/>
        </w:rPr>
        <w:t>П</w:t>
      </w:r>
      <w:r w:rsidRPr="00214CA7">
        <w:rPr>
          <w:sz w:val="24"/>
          <w:szCs w:val="24"/>
        </w:rPr>
        <w:t xml:space="preserve">                     </w:t>
      </w:r>
      <w:r w:rsidR="00950678">
        <w:rPr>
          <w:sz w:val="24"/>
          <w:szCs w:val="24"/>
        </w:rPr>
        <w:t>(2)</w:t>
      </w:r>
    </w:p>
    <w:p w:rsidR="00950678" w:rsidRPr="00214CA7" w:rsidRDefault="00950678" w:rsidP="00595EF7">
      <w:pPr>
        <w:tabs>
          <w:tab w:val="left" w:pos="993"/>
        </w:tabs>
        <w:ind w:firstLine="709"/>
        <w:jc w:val="both"/>
        <w:rPr>
          <w:position w:val="-14"/>
          <w:sz w:val="24"/>
          <w:szCs w:val="24"/>
        </w:rPr>
      </w:pPr>
    </w:p>
    <w:p w:rsidR="00595EF7" w:rsidRPr="001A19FE" w:rsidRDefault="00595EF7" w:rsidP="00595EF7">
      <w:pPr>
        <w:ind w:firstLine="851"/>
        <w:jc w:val="both"/>
        <w:rPr>
          <w:sz w:val="24"/>
          <w:szCs w:val="24"/>
        </w:rPr>
      </w:pPr>
      <w:r w:rsidRPr="00214CA7">
        <w:rPr>
          <w:sz w:val="24"/>
          <w:szCs w:val="24"/>
        </w:rPr>
        <w:t>3.1. </w:t>
      </w:r>
      <w:r w:rsidRPr="001A19FE">
        <w:rPr>
          <w:sz w:val="24"/>
          <w:szCs w:val="24"/>
        </w:rPr>
        <w:t xml:space="preserve">По </w:t>
      </w:r>
      <w:r w:rsidR="001A19FE" w:rsidRPr="001A19FE">
        <w:rPr>
          <w:sz w:val="24"/>
          <w:szCs w:val="24"/>
        </w:rPr>
        <w:t xml:space="preserve">случаям со сверхкороткой и </w:t>
      </w:r>
      <w:proofErr w:type="spellStart"/>
      <w:r w:rsidR="001A19FE" w:rsidRPr="001A19FE">
        <w:rPr>
          <w:sz w:val="24"/>
          <w:szCs w:val="24"/>
        </w:rPr>
        <w:t>сверхдлительной</w:t>
      </w:r>
      <w:proofErr w:type="spellEnd"/>
      <w:r w:rsidR="001A19FE" w:rsidRPr="001A19FE">
        <w:rPr>
          <w:sz w:val="24"/>
          <w:szCs w:val="24"/>
        </w:rPr>
        <w:t xml:space="preserve"> госпитализацией в обязательном порядке </w:t>
      </w:r>
      <w:r w:rsidRPr="001A19FE">
        <w:rPr>
          <w:sz w:val="24"/>
          <w:szCs w:val="24"/>
        </w:rPr>
        <w:t>проводится контроль объемов, сроков, качества и условий предоставления медицинской помощи:</w:t>
      </w:r>
    </w:p>
    <w:p w:rsidR="00595EF7" w:rsidRPr="001A19FE" w:rsidRDefault="00595EF7" w:rsidP="00595EF7">
      <w:pPr>
        <w:ind w:firstLine="851"/>
        <w:jc w:val="both"/>
        <w:rPr>
          <w:sz w:val="24"/>
          <w:szCs w:val="24"/>
        </w:rPr>
      </w:pPr>
      <w:r w:rsidRPr="001A19FE">
        <w:rPr>
          <w:sz w:val="24"/>
          <w:szCs w:val="24"/>
        </w:rPr>
        <w:t>- случаи сверхкороткого лечения (</w:t>
      </w:r>
      <w:r w:rsidR="004B2D80" w:rsidRPr="001A19FE">
        <w:rPr>
          <w:sz w:val="24"/>
          <w:szCs w:val="24"/>
        </w:rPr>
        <w:t>пребывание до 3 дней включительно</w:t>
      </w:r>
      <w:r w:rsidRPr="001A19FE">
        <w:rPr>
          <w:sz w:val="24"/>
          <w:szCs w:val="24"/>
        </w:rPr>
        <w:t>), по которым производится оплата в полном объеме (проводится МЭЭ, при необходимости, ЭКМП);</w:t>
      </w:r>
    </w:p>
    <w:p w:rsidR="00595EF7" w:rsidRPr="00214CA7" w:rsidRDefault="00595EF7" w:rsidP="00595EF7">
      <w:pPr>
        <w:ind w:firstLine="851"/>
        <w:jc w:val="both"/>
        <w:rPr>
          <w:sz w:val="24"/>
          <w:szCs w:val="24"/>
        </w:rPr>
      </w:pPr>
      <w:r w:rsidRPr="001A19FE">
        <w:rPr>
          <w:sz w:val="24"/>
          <w:szCs w:val="24"/>
        </w:rPr>
        <w:t xml:space="preserve">- в случаях </w:t>
      </w:r>
      <w:proofErr w:type="gramStart"/>
      <w:r w:rsidRPr="001A19FE">
        <w:rPr>
          <w:sz w:val="24"/>
          <w:szCs w:val="24"/>
        </w:rPr>
        <w:t xml:space="preserve">применения коэффициента сложности </w:t>
      </w:r>
      <w:r w:rsidR="00111302" w:rsidRPr="001A19FE">
        <w:rPr>
          <w:sz w:val="24"/>
          <w:szCs w:val="24"/>
        </w:rPr>
        <w:t>лечения</w:t>
      </w:r>
      <w:r w:rsidRPr="001A19FE">
        <w:rPr>
          <w:sz w:val="24"/>
          <w:szCs w:val="24"/>
        </w:rPr>
        <w:t xml:space="preserve"> пациента</w:t>
      </w:r>
      <w:proofErr w:type="gramEnd"/>
      <w:r w:rsidRPr="001A19FE">
        <w:rPr>
          <w:sz w:val="24"/>
          <w:szCs w:val="24"/>
        </w:rPr>
        <w:t xml:space="preserve"> при </w:t>
      </w:r>
      <w:proofErr w:type="spellStart"/>
      <w:r w:rsidRPr="001A19FE">
        <w:rPr>
          <w:sz w:val="24"/>
          <w:szCs w:val="24"/>
        </w:rPr>
        <w:t>сверхдлительных</w:t>
      </w:r>
      <w:proofErr w:type="spellEnd"/>
      <w:r w:rsidRPr="001A19FE">
        <w:rPr>
          <w:sz w:val="24"/>
          <w:szCs w:val="24"/>
        </w:rPr>
        <w:t xml:space="preserve"> сроках лечения (более 30 дней, при лечении в отделениях реанимациях и интенсивной терапии свыше </w:t>
      </w:r>
      <w:r w:rsidR="004B2D80" w:rsidRPr="001A19FE">
        <w:rPr>
          <w:sz w:val="24"/>
          <w:szCs w:val="24"/>
        </w:rPr>
        <w:t>3</w:t>
      </w:r>
      <w:r w:rsidRPr="001A19FE">
        <w:rPr>
          <w:sz w:val="24"/>
          <w:szCs w:val="24"/>
        </w:rPr>
        <w:t xml:space="preserve"> дн</w:t>
      </w:r>
      <w:r w:rsidR="004B2D80" w:rsidRPr="001A19FE">
        <w:rPr>
          <w:sz w:val="24"/>
          <w:szCs w:val="24"/>
        </w:rPr>
        <w:t>ей</w:t>
      </w:r>
      <w:r w:rsidRPr="001A19FE">
        <w:rPr>
          <w:sz w:val="24"/>
          <w:szCs w:val="24"/>
        </w:rPr>
        <w:t>) проводится ЭКМП.</w:t>
      </w:r>
    </w:p>
    <w:p w:rsidR="00595EF7" w:rsidRPr="00214CA7" w:rsidRDefault="00595EF7" w:rsidP="00595EF7">
      <w:pPr>
        <w:pStyle w:val="a0"/>
        <w:spacing w:before="100" w:beforeAutospacing="1"/>
        <w:ind w:firstLine="709"/>
        <w:jc w:val="both"/>
        <w:rPr>
          <w:color w:val="auto"/>
          <w:sz w:val="24"/>
          <w:szCs w:val="24"/>
        </w:rPr>
      </w:pPr>
      <w:r w:rsidRPr="00214CA7">
        <w:rPr>
          <w:color w:val="auto"/>
          <w:sz w:val="24"/>
          <w:szCs w:val="24"/>
        </w:rPr>
        <w:t>4. Определение стоимости высокотехнологичной медицинской помощи, включенной в базовую программу ОМС, производится в соответствии с утвержденными финансовыми нормативами.</w:t>
      </w:r>
    </w:p>
    <w:p w:rsidR="00595EF7" w:rsidRPr="00EB68FB" w:rsidRDefault="00E63953" w:rsidP="00595EF7">
      <w:pPr>
        <w:pStyle w:val="3"/>
        <w:spacing w:after="0"/>
        <w:ind w:firstLine="709"/>
        <w:jc w:val="both"/>
        <w:rPr>
          <w:rFonts w:eastAsia="Arial Unicode MS"/>
          <w:sz w:val="24"/>
          <w:szCs w:val="24"/>
          <w:bdr w:val="nil"/>
          <w:lang w:eastAsia="en-US"/>
        </w:rPr>
      </w:pPr>
      <w:r>
        <w:rPr>
          <w:sz w:val="24"/>
          <w:szCs w:val="24"/>
          <w:u w:color="000000"/>
          <w:bdr w:val="nil"/>
          <w:lang w:eastAsia="ru-RU"/>
        </w:rPr>
        <w:t xml:space="preserve">Финансовые нормативы </w:t>
      </w:r>
      <w:r w:rsidR="00595EF7" w:rsidRPr="00E63953">
        <w:rPr>
          <w:sz w:val="24"/>
          <w:szCs w:val="24"/>
          <w:u w:color="000000"/>
          <w:bdr w:val="nil"/>
          <w:lang w:eastAsia="ru-RU"/>
        </w:rPr>
        <w:t>на оплату методов высокотехнологичной медицинской помощи представлены в электронном виде</w:t>
      </w:r>
      <w:r w:rsidR="00357743" w:rsidRPr="00E63953">
        <w:rPr>
          <w:sz w:val="24"/>
          <w:szCs w:val="24"/>
          <w:u w:color="000000"/>
          <w:bdr w:val="nil"/>
          <w:lang w:eastAsia="ru-RU"/>
        </w:rPr>
        <w:t xml:space="preserve"> </w:t>
      </w:r>
      <w:r w:rsidR="00595EF7" w:rsidRPr="00E63953">
        <w:rPr>
          <w:sz w:val="24"/>
          <w:szCs w:val="24"/>
          <w:u w:color="000000"/>
          <w:bdr w:val="nil"/>
          <w:lang w:eastAsia="ru-RU"/>
        </w:rPr>
        <w:t xml:space="preserve">в </w:t>
      </w:r>
      <w:bookmarkStart w:id="0" w:name="_GoBack"/>
      <w:r w:rsidR="00595EF7" w:rsidRPr="00EB68FB">
        <w:rPr>
          <w:sz w:val="24"/>
          <w:szCs w:val="24"/>
          <w:u w:color="000000"/>
          <w:bdr w:val="nil"/>
          <w:lang w:eastAsia="ru-RU"/>
        </w:rPr>
        <w:t>Приложении 6 к настоящему Тарифному соглашению</w:t>
      </w:r>
      <w:r w:rsidR="00595EF7" w:rsidRPr="00EB68FB">
        <w:rPr>
          <w:rFonts w:eastAsia="Arial Unicode MS"/>
          <w:sz w:val="24"/>
          <w:szCs w:val="24"/>
          <w:bdr w:val="nil"/>
          <w:lang w:eastAsia="en-US"/>
        </w:rPr>
        <w:t>.</w:t>
      </w:r>
    </w:p>
    <w:p w:rsidR="003E64DD" w:rsidRPr="00B42821" w:rsidRDefault="003E64DD" w:rsidP="00595EF7">
      <w:pPr>
        <w:pStyle w:val="3"/>
        <w:spacing w:after="0"/>
        <w:ind w:firstLine="709"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EB68FB">
        <w:rPr>
          <w:rFonts w:eastAsia="Arial Unicode MS"/>
          <w:bCs/>
          <w:sz w:val="24"/>
          <w:szCs w:val="24"/>
          <w:bdr w:val="nil"/>
          <w:lang w:eastAsia="en-US"/>
        </w:rPr>
        <w:t xml:space="preserve">Оплата высокотехнологичной медицинской помощи </w:t>
      </w:r>
      <w:bookmarkEnd w:id="0"/>
      <w:r w:rsidRPr="00E63953">
        <w:rPr>
          <w:rFonts w:eastAsia="Arial Unicode MS"/>
          <w:bCs/>
          <w:sz w:val="24"/>
          <w:szCs w:val="24"/>
          <w:bdr w:val="nil"/>
          <w:lang w:eastAsia="en-US"/>
        </w:rPr>
        <w:t>осуществляется на основании реестров счетов и счетов на оплату медицинской помощи в пределах объемов предоставления медицинской помощи, установленной решением Комиссии, при условии включения сведений, предусмотренных приказом Минздрава России от 30.01.2015 №29н, в специализированную информационную систему Минздрава России.</w:t>
      </w:r>
    </w:p>
    <w:p w:rsidR="00214CA7" w:rsidRDefault="00214CA7">
      <w:pPr>
        <w:spacing w:after="200" w:line="276" w:lineRule="auto"/>
      </w:pPr>
      <w:r>
        <w:br w:type="page"/>
      </w:r>
    </w:p>
    <w:p w:rsidR="00595EF7" w:rsidRPr="00214CA7" w:rsidRDefault="00595EF7" w:rsidP="00174262">
      <w:pPr>
        <w:jc w:val="center"/>
        <w:rPr>
          <w:b/>
        </w:rPr>
      </w:pPr>
      <w:r w:rsidRPr="00214CA7">
        <w:rPr>
          <w:b/>
        </w:rPr>
        <w:lastRenderedPageBreak/>
        <w:t>Поправочные коэффициенты оплаты КСГ</w:t>
      </w:r>
    </w:p>
    <w:p w:rsidR="00595EF7" w:rsidRPr="00214CA7" w:rsidRDefault="00595EF7" w:rsidP="00174262">
      <w:pPr>
        <w:jc w:val="right"/>
      </w:pPr>
      <w:r w:rsidRPr="00214CA7">
        <w:t xml:space="preserve">Таблица </w:t>
      </w:r>
      <w:r w:rsidR="00821C0F">
        <w:t>7</w:t>
      </w:r>
    </w:p>
    <w:p w:rsidR="00595EF7" w:rsidRPr="00214CA7" w:rsidRDefault="00595EF7" w:rsidP="00174262">
      <w:pPr>
        <w:tabs>
          <w:tab w:val="left" w:pos="993"/>
        </w:tabs>
        <w:jc w:val="center"/>
      </w:pPr>
    </w:p>
    <w:p w:rsidR="00595EF7" w:rsidRPr="00E27CA0" w:rsidRDefault="00214CA7" w:rsidP="00174262">
      <w:pPr>
        <w:tabs>
          <w:tab w:val="left" w:pos="993"/>
        </w:tabs>
        <w:autoSpaceDE w:val="0"/>
        <w:autoSpaceDN w:val="0"/>
        <w:adjustRightInd w:val="0"/>
        <w:ind w:left="426"/>
        <w:jc w:val="both"/>
      </w:pPr>
      <w:r>
        <w:t xml:space="preserve">1) </w:t>
      </w:r>
      <w:r w:rsidR="00595EF7" w:rsidRPr="00214CA7">
        <w:t>Коэффициент</w:t>
      </w:r>
      <w:r w:rsidR="00E27CA0">
        <w:t>ы</w:t>
      </w:r>
      <w:r w:rsidR="00595EF7" w:rsidRPr="00214CA7">
        <w:t xml:space="preserve"> уровня </w:t>
      </w:r>
      <w:r w:rsidR="00601680">
        <w:t xml:space="preserve">и </w:t>
      </w:r>
      <w:r w:rsidR="00601680" w:rsidRPr="00E27CA0">
        <w:t xml:space="preserve">подуровня </w:t>
      </w:r>
      <w:r w:rsidR="00595EF7" w:rsidRPr="00E27CA0">
        <w:t>оказания стационарной медицинской помощи (</w:t>
      </w:r>
      <w:proofErr w:type="spellStart"/>
      <w:r w:rsidR="0070447D" w:rsidRPr="00E27CA0">
        <w:t>КУСмо</w:t>
      </w:r>
      <w:proofErr w:type="spellEnd"/>
      <w:r w:rsidR="0070447D" w:rsidRPr="00E27CA0">
        <w:t>, (</w:t>
      </w:r>
      <w:proofErr w:type="spellStart"/>
      <w:r w:rsidR="00595EF7" w:rsidRPr="00E27CA0">
        <w:t>К</w:t>
      </w:r>
      <w:r w:rsidR="00601680" w:rsidRPr="00E27CA0">
        <w:t>П</w:t>
      </w:r>
      <w:r w:rsidR="00595EF7" w:rsidRPr="00E27CA0">
        <w:t>УСмо</w:t>
      </w:r>
      <w:proofErr w:type="spellEnd"/>
      <w:r w:rsidR="00595EF7" w:rsidRPr="00E27CA0">
        <w:t>)</w:t>
      </w:r>
      <w:r w:rsidR="0070447D" w:rsidRPr="00E27CA0">
        <w:t>)</w:t>
      </w:r>
    </w:p>
    <w:p w:rsidR="00595EF7" w:rsidRPr="00E27CA0" w:rsidRDefault="00595EF7" w:rsidP="00174262">
      <w:pPr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5"/>
        <w:gridCol w:w="3849"/>
      </w:tblGrid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357743" w:rsidRPr="00E27CA0" w:rsidRDefault="00FA282A" w:rsidP="00174262">
            <w:pPr>
              <w:jc w:val="center"/>
              <w:rPr>
                <w:bCs/>
              </w:rPr>
            </w:pPr>
            <w:r>
              <w:rPr>
                <w:bCs/>
              </w:rPr>
              <w:t>Уровень оказания медицинской помощи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57743" w:rsidRPr="00E27CA0" w:rsidRDefault="00357743" w:rsidP="00174262">
            <w:pPr>
              <w:jc w:val="center"/>
              <w:rPr>
                <w:bCs/>
              </w:rPr>
            </w:pPr>
            <w:r w:rsidRPr="00E27CA0">
              <w:rPr>
                <w:bCs/>
              </w:rPr>
              <w:t xml:space="preserve">Значение коэффициента </w:t>
            </w:r>
            <w:proofErr w:type="spellStart"/>
            <w:r w:rsidR="0070447D" w:rsidRPr="00E27CA0">
              <w:rPr>
                <w:bCs/>
              </w:rPr>
              <w:t>КУСмо</w:t>
            </w:r>
            <w:proofErr w:type="spellEnd"/>
            <w:r w:rsidR="0070447D" w:rsidRPr="00E27CA0">
              <w:rPr>
                <w:bCs/>
              </w:rPr>
              <w:t>, (</w:t>
            </w:r>
            <w:proofErr w:type="spellStart"/>
            <w:r w:rsidRPr="00E27CA0">
              <w:rPr>
                <w:bCs/>
              </w:rPr>
              <w:t>К</w:t>
            </w:r>
            <w:r w:rsidR="00601680" w:rsidRPr="00E27CA0">
              <w:rPr>
                <w:bCs/>
              </w:rPr>
              <w:t>П</w:t>
            </w:r>
            <w:r w:rsidRPr="00E27CA0">
              <w:rPr>
                <w:bCs/>
              </w:rPr>
              <w:t>УСмо</w:t>
            </w:r>
            <w:proofErr w:type="spellEnd"/>
            <w:r w:rsidR="0070447D" w:rsidRPr="00E27CA0">
              <w:rPr>
                <w:bCs/>
              </w:rPr>
              <w:t>)</w:t>
            </w:r>
          </w:p>
        </w:tc>
      </w:tr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357743" w:rsidRPr="00E27CA0" w:rsidRDefault="00357743" w:rsidP="00174262">
            <w:r w:rsidRPr="00E27CA0">
              <w:t>1 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357743" w:rsidRPr="00E27CA0" w:rsidRDefault="00601680" w:rsidP="00174262">
            <w:pPr>
              <w:jc w:val="center"/>
            </w:pPr>
            <w:r w:rsidRPr="00E27CA0">
              <w:t>0,9</w:t>
            </w:r>
          </w:p>
        </w:tc>
      </w:tr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357743" w:rsidRPr="00E27CA0" w:rsidRDefault="00357743" w:rsidP="00174262">
            <w:r w:rsidRPr="00E27CA0">
              <w:t>1.1 подуровень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357743" w:rsidRPr="00E27CA0" w:rsidRDefault="008257F4" w:rsidP="00174262">
            <w:pPr>
              <w:jc w:val="center"/>
            </w:pPr>
            <w:r w:rsidRPr="00E27CA0">
              <w:t>0,68</w:t>
            </w:r>
          </w:p>
        </w:tc>
      </w:tr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357743" w:rsidRPr="00E27CA0" w:rsidRDefault="008257F4" w:rsidP="00174262">
            <w:r w:rsidRPr="00E27CA0">
              <w:t>1</w:t>
            </w:r>
            <w:r w:rsidR="00357743" w:rsidRPr="00E27CA0">
              <w:t>.2 подуровень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357743" w:rsidRPr="00E27CA0" w:rsidRDefault="008257F4" w:rsidP="00174262">
            <w:pPr>
              <w:jc w:val="center"/>
            </w:pPr>
            <w:r w:rsidRPr="00E27CA0">
              <w:t>0,77</w:t>
            </w:r>
          </w:p>
        </w:tc>
      </w:tr>
      <w:tr w:rsidR="008257F4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257F4" w:rsidRPr="00E27CA0" w:rsidRDefault="008257F4" w:rsidP="00174262">
            <w:r w:rsidRPr="00E27CA0">
              <w:t>1.3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257F4" w:rsidRPr="00E27CA0" w:rsidRDefault="008257F4" w:rsidP="00174262">
            <w:pPr>
              <w:jc w:val="center"/>
            </w:pPr>
            <w:r w:rsidRPr="00E27CA0">
              <w:t>0,86</w:t>
            </w:r>
          </w:p>
        </w:tc>
      </w:tr>
      <w:tr w:rsidR="008257F4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257F4" w:rsidRPr="00E27CA0" w:rsidRDefault="008257F4" w:rsidP="00174262">
            <w:r w:rsidRPr="00E27CA0">
              <w:t>1,4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257F4" w:rsidRPr="00E27CA0" w:rsidRDefault="008257F4" w:rsidP="00174262">
            <w:pPr>
              <w:jc w:val="center"/>
            </w:pPr>
            <w:r w:rsidRPr="00E27CA0">
              <w:t>0,95</w:t>
            </w:r>
          </w:p>
        </w:tc>
      </w:tr>
      <w:tr w:rsidR="008257F4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257F4" w:rsidRPr="00E27CA0" w:rsidRDefault="008257F4" w:rsidP="00174262">
            <w:r w:rsidRPr="00E27CA0">
              <w:t>1,5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257F4" w:rsidRPr="00E27CA0" w:rsidRDefault="008257F4" w:rsidP="00174262">
            <w:pPr>
              <w:jc w:val="center"/>
            </w:pPr>
            <w:r w:rsidRPr="00E27CA0">
              <w:t>1,04</w:t>
            </w:r>
          </w:p>
        </w:tc>
      </w:tr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357743" w:rsidRPr="00E27CA0" w:rsidRDefault="00357743" w:rsidP="00174262">
            <w:r w:rsidRPr="00E27CA0">
              <w:t>2 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357743" w:rsidRPr="00E27CA0" w:rsidRDefault="008257F4" w:rsidP="00174262">
            <w:pPr>
              <w:jc w:val="center"/>
            </w:pPr>
            <w:r w:rsidRPr="00E27CA0">
              <w:t>1</w:t>
            </w:r>
          </w:p>
        </w:tc>
      </w:tr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357743" w:rsidRPr="00E27CA0" w:rsidRDefault="008A1BF3" w:rsidP="00174262">
            <w:r w:rsidRPr="00E27CA0">
              <w:t>2</w:t>
            </w:r>
            <w:r w:rsidR="00357743" w:rsidRPr="00E27CA0">
              <w:t>.1 подуровень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357743" w:rsidRPr="00E27CA0" w:rsidRDefault="008257F4" w:rsidP="00174262">
            <w:pPr>
              <w:jc w:val="center"/>
            </w:pPr>
            <w:r w:rsidRPr="00E27CA0">
              <w:t>0,82</w:t>
            </w:r>
          </w:p>
        </w:tc>
      </w:tr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357743" w:rsidRPr="00E27CA0" w:rsidRDefault="008A1BF3" w:rsidP="00174262">
            <w:r w:rsidRPr="00E27CA0">
              <w:t>2</w:t>
            </w:r>
            <w:r w:rsidR="00357743" w:rsidRPr="00E27CA0">
              <w:t>.2 подуровень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357743" w:rsidRPr="00E27CA0" w:rsidRDefault="00470EE9" w:rsidP="00174262">
            <w:pPr>
              <w:jc w:val="center"/>
            </w:pPr>
            <w:r w:rsidRPr="00E27CA0">
              <w:t>1,02</w:t>
            </w:r>
          </w:p>
        </w:tc>
      </w:tr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357743" w:rsidRPr="00E27CA0" w:rsidRDefault="008A1BF3" w:rsidP="008257F4">
            <w:r w:rsidRPr="00E27CA0">
              <w:t>2</w:t>
            </w:r>
            <w:r w:rsidR="00357743" w:rsidRPr="00E27CA0">
              <w:t>.</w:t>
            </w:r>
            <w:r w:rsidR="008257F4" w:rsidRPr="00E27CA0">
              <w:t>5</w:t>
            </w:r>
            <w:r w:rsidR="00357743" w:rsidRPr="00E27CA0">
              <w:t xml:space="preserve">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57743" w:rsidRPr="00E27CA0" w:rsidRDefault="008257F4" w:rsidP="00470EE9">
            <w:pPr>
              <w:jc w:val="center"/>
            </w:pPr>
            <w:r w:rsidRPr="00E27CA0">
              <w:t>1,</w:t>
            </w:r>
            <w:r w:rsidR="00470EE9" w:rsidRPr="00E27CA0">
              <w:t>38</w:t>
            </w:r>
          </w:p>
        </w:tc>
      </w:tr>
      <w:tr w:rsidR="00357743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357743" w:rsidRPr="00E27CA0" w:rsidRDefault="00357743" w:rsidP="00174262">
            <w:r w:rsidRPr="00E27CA0">
              <w:t>3 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357743" w:rsidRPr="00E27CA0" w:rsidRDefault="00357743" w:rsidP="008257F4">
            <w:pPr>
              <w:jc w:val="center"/>
            </w:pPr>
            <w:r w:rsidRPr="00E27CA0">
              <w:t>1</w:t>
            </w:r>
            <w:r w:rsidR="007267F4" w:rsidRPr="00E27CA0">
              <w:t>.</w:t>
            </w:r>
            <w:r w:rsidR="008257F4" w:rsidRPr="00E27CA0">
              <w:t>18</w:t>
            </w:r>
          </w:p>
        </w:tc>
      </w:tr>
      <w:tr w:rsidR="008257F4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257F4" w:rsidRPr="00E27CA0" w:rsidRDefault="008A1BF3" w:rsidP="003D5B8C">
            <w:r w:rsidRPr="00E27CA0">
              <w:t>3</w:t>
            </w:r>
            <w:r w:rsidR="008257F4" w:rsidRPr="00E27CA0">
              <w:t>.1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257F4" w:rsidRPr="00E27CA0" w:rsidRDefault="008257F4" w:rsidP="003D5B8C">
            <w:pPr>
              <w:jc w:val="center"/>
            </w:pPr>
            <w:r w:rsidRPr="00E27CA0">
              <w:t>0,97</w:t>
            </w:r>
          </w:p>
        </w:tc>
      </w:tr>
      <w:tr w:rsidR="008257F4" w:rsidRPr="00E27CA0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257F4" w:rsidRPr="00E27CA0" w:rsidRDefault="008A1BF3" w:rsidP="003D5B8C">
            <w:r w:rsidRPr="00E27CA0">
              <w:t>3</w:t>
            </w:r>
            <w:r w:rsidR="008257F4" w:rsidRPr="00E27CA0">
              <w:t>.2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257F4" w:rsidRPr="00E27CA0" w:rsidRDefault="008257F4" w:rsidP="003D5B8C">
            <w:pPr>
              <w:jc w:val="center"/>
            </w:pPr>
            <w:r w:rsidRPr="00E27CA0">
              <w:t>1,21</w:t>
            </w:r>
          </w:p>
        </w:tc>
      </w:tr>
      <w:tr w:rsidR="008257F4" w:rsidRPr="00214CA7" w:rsidTr="00357743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257F4" w:rsidRPr="00E27CA0" w:rsidRDefault="008A1BF3" w:rsidP="003D5B8C">
            <w:r w:rsidRPr="00E27CA0">
              <w:t>3</w:t>
            </w:r>
            <w:r w:rsidR="008257F4" w:rsidRPr="00E27CA0">
              <w:t>.5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257F4" w:rsidRPr="00E27CA0" w:rsidRDefault="008257F4" w:rsidP="008257F4">
            <w:pPr>
              <w:jc w:val="center"/>
            </w:pPr>
            <w:r w:rsidRPr="00E27CA0">
              <w:t>1,44</w:t>
            </w:r>
          </w:p>
        </w:tc>
      </w:tr>
    </w:tbl>
    <w:p w:rsidR="00595EF7" w:rsidRPr="00214CA7" w:rsidRDefault="00595EF7" w:rsidP="00174262">
      <w:pPr>
        <w:pStyle w:val="a9"/>
        <w:tabs>
          <w:tab w:val="left" w:pos="993"/>
        </w:tabs>
        <w:spacing w:after="0" w:line="240" w:lineRule="auto"/>
        <w:ind w:left="1065" w:firstLine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35331" w:rsidRPr="00675E86" w:rsidRDefault="00F35331" w:rsidP="00BF5734">
      <w:pPr>
        <w:jc w:val="right"/>
      </w:pPr>
      <w:r w:rsidRPr="00675E86">
        <w:t xml:space="preserve">Таблица </w:t>
      </w:r>
      <w:r w:rsidR="00821C0F">
        <w:t>8</w:t>
      </w:r>
    </w:p>
    <w:p w:rsidR="00452CEA" w:rsidRDefault="00452CEA" w:rsidP="00452CEA">
      <w:pPr>
        <w:pStyle w:val="a9"/>
        <w:spacing w:after="0" w:line="240" w:lineRule="auto"/>
        <w:ind w:left="426" w:firstLine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52CE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2) Управленческие коэффициенты по КСГ (КУ </w:t>
      </w:r>
      <w:proofErr w:type="spellStart"/>
      <w:r w:rsidRPr="00452CEA">
        <w:rPr>
          <w:rFonts w:ascii="Times New Roman" w:eastAsia="Times New Roman" w:hAnsi="Times New Roman"/>
          <w:bCs/>
          <w:sz w:val="20"/>
          <w:szCs w:val="20"/>
          <w:lang w:eastAsia="ru-RU"/>
        </w:rPr>
        <w:t>ксг</w:t>
      </w:r>
      <w:proofErr w:type="spellEnd"/>
      <w:r w:rsidRPr="00452CEA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8F2590" w:rsidRPr="00214CA7" w:rsidRDefault="008F2590" w:rsidP="008F2590">
      <w:pPr>
        <w:pStyle w:val="a9"/>
        <w:spacing w:after="0" w:line="240" w:lineRule="auto"/>
        <w:ind w:left="426" w:firstLine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3353" w:type="pct"/>
        <w:tblLook w:val="04A0" w:firstRow="1" w:lastRow="0" w:firstColumn="1" w:lastColumn="0" w:noHBand="0" w:noVBand="1"/>
      </w:tblPr>
      <w:tblGrid>
        <w:gridCol w:w="1226"/>
        <w:gridCol w:w="1701"/>
        <w:gridCol w:w="1842"/>
        <w:gridCol w:w="2409"/>
      </w:tblGrid>
      <w:tr w:rsidR="00BF5734" w:rsidRPr="00066534" w:rsidTr="00BF573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bCs/>
                <w:color w:val="000000"/>
              </w:rPr>
            </w:pPr>
            <w:r w:rsidRPr="00066534">
              <w:rPr>
                <w:bCs/>
                <w:color w:val="000000"/>
              </w:rPr>
              <w:t>№ КСГ</w:t>
            </w:r>
          </w:p>
        </w:tc>
        <w:tc>
          <w:tcPr>
            <w:tcW w:w="4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bCs/>
                <w:color w:val="000000"/>
              </w:rPr>
            </w:pPr>
            <w:r w:rsidRPr="00066534">
              <w:rPr>
                <w:bCs/>
                <w:color w:val="000000"/>
              </w:rPr>
              <w:t>Управленческий коэффициент</w:t>
            </w:r>
          </w:p>
        </w:tc>
      </w:tr>
      <w:tr w:rsidR="00BF5734" w:rsidRPr="00066534" w:rsidTr="00BF573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bCs/>
                <w:color w:val="000000"/>
              </w:rPr>
            </w:pPr>
            <w:r w:rsidRPr="00066534">
              <w:rPr>
                <w:bCs/>
                <w:color w:val="000000"/>
              </w:rPr>
              <w:t>Уровень 1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bCs/>
                <w:color w:val="000000"/>
              </w:rPr>
            </w:pPr>
            <w:r w:rsidRPr="00066534">
              <w:rPr>
                <w:bCs/>
                <w:color w:val="000000"/>
              </w:rPr>
              <w:t>Уровень 2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bCs/>
                <w:color w:val="000000"/>
              </w:rPr>
            </w:pPr>
            <w:r w:rsidRPr="00066534">
              <w:rPr>
                <w:bCs/>
                <w:color w:val="000000"/>
              </w:rPr>
              <w:t>Уровень 3</w:t>
            </w:r>
          </w:p>
        </w:tc>
      </w:tr>
      <w:tr w:rsidR="00BF5734" w:rsidRPr="00066534" w:rsidTr="00BF57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color w:val="000000"/>
              </w:rPr>
            </w:pPr>
            <w:r w:rsidRPr="00066534">
              <w:rPr>
                <w:color w:val="000000"/>
              </w:rPr>
              <w:t>1</w:t>
            </w:r>
            <w:r>
              <w:rPr>
                <w:color w:val="000000"/>
              </w:rPr>
              <w:t>-308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color w:val="000000"/>
              </w:rPr>
            </w:pPr>
            <w:r w:rsidRPr="00066534">
              <w:rPr>
                <w:color w:val="000000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color w:val="000000"/>
              </w:rPr>
            </w:pPr>
            <w:r w:rsidRPr="00066534">
              <w:rPr>
                <w:color w:val="000000"/>
              </w:rPr>
              <w:t>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34" w:rsidRPr="00066534" w:rsidRDefault="00BF5734" w:rsidP="001758BC">
            <w:pPr>
              <w:jc w:val="center"/>
              <w:rPr>
                <w:color w:val="000000"/>
              </w:rPr>
            </w:pPr>
            <w:r w:rsidRPr="00066534">
              <w:rPr>
                <w:color w:val="000000"/>
              </w:rPr>
              <w:t>1</w:t>
            </w:r>
          </w:p>
        </w:tc>
      </w:tr>
    </w:tbl>
    <w:p w:rsidR="00452CEA" w:rsidRPr="00C610BC" w:rsidRDefault="00452CEA" w:rsidP="00452CEA">
      <w:pPr>
        <w:tabs>
          <w:tab w:val="left" w:pos="993"/>
        </w:tabs>
        <w:rPr>
          <w:color w:val="C00000"/>
          <w:highlight w:val="magenta"/>
        </w:rPr>
      </w:pPr>
    </w:p>
    <w:p w:rsidR="0047353B" w:rsidRPr="00600E32" w:rsidRDefault="0047353B" w:rsidP="0047353B">
      <w:pPr>
        <w:jc w:val="right"/>
      </w:pPr>
      <w:r w:rsidRPr="00600E32">
        <w:t xml:space="preserve">Таблица </w:t>
      </w:r>
      <w:r w:rsidR="00821C0F">
        <w:t>9</w:t>
      </w:r>
    </w:p>
    <w:p w:rsidR="0047353B" w:rsidRPr="00C610BC" w:rsidRDefault="0047353B" w:rsidP="0047353B">
      <w:pPr>
        <w:tabs>
          <w:tab w:val="left" w:pos="993"/>
        </w:tabs>
        <w:ind w:left="426"/>
      </w:pPr>
      <w:r>
        <w:t xml:space="preserve">3) </w:t>
      </w:r>
      <w:r w:rsidRPr="00E90E3E">
        <w:t xml:space="preserve">Коэффициент сложности </w:t>
      </w:r>
      <w:r w:rsidR="00E74008" w:rsidRPr="00C610BC">
        <w:t>лечения</w:t>
      </w:r>
      <w:r w:rsidRPr="00C610BC">
        <w:t xml:space="preserve"> пациента (КС</w:t>
      </w:r>
      <w:r w:rsidR="00E74008" w:rsidRPr="00C610BC">
        <w:t>Л</w:t>
      </w:r>
      <w:r w:rsidRPr="00C610BC">
        <w:t>П)</w:t>
      </w:r>
    </w:p>
    <w:p w:rsidR="0047353B" w:rsidRPr="00C610BC" w:rsidRDefault="0047353B" w:rsidP="0047353B">
      <w:pPr>
        <w:tabs>
          <w:tab w:val="left" w:pos="993"/>
        </w:tabs>
        <w:ind w:left="705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"/>
        <w:gridCol w:w="7283"/>
        <w:gridCol w:w="405"/>
        <w:gridCol w:w="2505"/>
      </w:tblGrid>
      <w:tr w:rsidR="0047353B" w:rsidRPr="00214CA7" w:rsidTr="00601680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53B" w:rsidRPr="00C610BC" w:rsidRDefault="0047353B" w:rsidP="00601680">
            <w:r w:rsidRPr="00C610BC">
              <w:t> №</w:t>
            </w:r>
          </w:p>
        </w:tc>
        <w:tc>
          <w:tcPr>
            <w:tcW w:w="35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C610BC" w:rsidRDefault="0047353B" w:rsidP="00601680">
            <w:pPr>
              <w:jc w:val="center"/>
            </w:pPr>
            <w:r w:rsidRPr="00C610BC">
              <w:t>Критерий применения коэффициента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9A2A82">
            <w:pPr>
              <w:jc w:val="center"/>
              <w:rPr>
                <w:bCs/>
              </w:rPr>
            </w:pPr>
            <w:r w:rsidRPr="00C610BC">
              <w:rPr>
                <w:bCs/>
              </w:rPr>
              <w:t>Значение коэффициента КС</w:t>
            </w:r>
            <w:r w:rsidR="009A2A82" w:rsidRPr="00C610BC">
              <w:rPr>
                <w:bCs/>
              </w:rPr>
              <w:t>Л</w:t>
            </w:r>
            <w:r w:rsidRPr="00C610BC">
              <w:rPr>
                <w:bCs/>
              </w:rPr>
              <w:t>П</w:t>
            </w:r>
          </w:p>
        </w:tc>
      </w:tr>
      <w:tr w:rsidR="0047353B" w:rsidRPr="00214CA7" w:rsidTr="00601680">
        <w:trPr>
          <w:trHeight w:val="34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1)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Возраст: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 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75 лет и старше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1,2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0-4 года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1,2</w:t>
            </w:r>
          </w:p>
        </w:tc>
      </w:tr>
      <w:tr w:rsidR="0047353B" w:rsidRPr="00214CA7" w:rsidTr="00601680">
        <w:trPr>
          <w:trHeight w:val="343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2)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Летальный исход в первые сутки лечения: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 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терапевтические КСГ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0,5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хирургические КСГ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</w:t>
            </w:r>
            <w:r>
              <w:t>,0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прочие КСГ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</w:t>
            </w:r>
            <w:r>
              <w:t>,0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 xml:space="preserve">комбинированные КСГ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</w:t>
            </w:r>
            <w:r>
              <w:t>,0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3)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Средняя длительность лечения (СДЛ) 1-3 дня включительно (без учета  случаев с летальным исходом):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rPr>
                <w:b/>
                <w:bCs/>
              </w:rPr>
            </w:pPr>
            <w:r w:rsidRPr="00214CA7">
              <w:rPr>
                <w:b/>
                <w:bCs/>
              </w:rPr>
              <w:t> 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терапевтические КСГ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0,5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хирургические КСГ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</w:t>
            </w:r>
            <w:r>
              <w:t>,0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прочие КСГ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</w:t>
            </w:r>
            <w:r>
              <w:t>,0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 xml:space="preserve">комбинированные КСГ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</w:t>
            </w:r>
            <w:r>
              <w:t>,0</w:t>
            </w:r>
          </w:p>
        </w:tc>
      </w:tr>
      <w:tr w:rsidR="0047353B" w:rsidRPr="00214CA7" w:rsidTr="00601680">
        <w:trPr>
          <w:trHeight w:val="40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4)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Случаи нахождения в реанимации (суммарно за 1 законченный случай):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rPr>
                <w:b/>
                <w:bCs/>
              </w:rPr>
            </w:pPr>
            <w:r w:rsidRPr="00214CA7">
              <w:rPr>
                <w:b/>
                <w:bCs/>
              </w:rPr>
              <w:t> 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1-3дней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</w:t>
            </w:r>
            <w:r>
              <w:t>,0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4-6дней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1,1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7-13дней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1,2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14-20 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1,3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pPr>
              <w:jc w:val="center"/>
            </w:pPr>
            <w:r w:rsidRPr="0047353B">
              <w:t> 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53B" w:rsidRPr="0047353B" w:rsidRDefault="0047353B" w:rsidP="00601680">
            <w:r w:rsidRPr="0047353B">
              <w:t>21 день и более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47353B" w:rsidRDefault="0047353B" w:rsidP="00601680">
            <w:r w:rsidRPr="0047353B"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3B" w:rsidRPr="00214CA7" w:rsidRDefault="0047353B" w:rsidP="00601680">
            <w:pPr>
              <w:jc w:val="center"/>
            </w:pPr>
            <w:r w:rsidRPr="00214CA7">
              <w:t>1,4</w:t>
            </w:r>
          </w:p>
        </w:tc>
      </w:tr>
      <w:tr w:rsidR="0047353B" w:rsidRPr="00214CA7" w:rsidTr="00601680">
        <w:trPr>
          <w:trHeight w:val="40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B84FBC" w:rsidP="00601680">
            <w:pPr>
              <w:jc w:val="center"/>
            </w:pPr>
            <w:r>
              <w:t>5</w:t>
            </w:r>
            <w:r w:rsidR="0047353B" w:rsidRPr="0047353B">
              <w:t>)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 xml:space="preserve">Случаи </w:t>
            </w:r>
            <w:proofErr w:type="spellStart"/>
            <w:r w:rsidRPr="0047353B">
              <w:rPr>
                <w:bCs/>
              </w:rPr>
              <w:t>сверхдлительного</w:t>
            </w:r>
            <w:proofErr w:type="spellEnd"/>
            <w:r w:rsidRPr="0047353B">
              <w:rPr>
                <w:bCs/>
              </w:rPr>
              <w:t xml:space="preserve"> пребывания (нормативная длительность 30 дней)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≥ 50 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  <w:r w:rsidRPr="00214CA7">
              <w:t>1,2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≥ 70 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  <w:r w:rsidRPr="00214CA7">
              <w:t>1,4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≥ 100 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  <w:r w:rsidRPr="00214CA7">
              <w:t>1,6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≥ 120 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  <w:r w:rsidRPr="00214CA7">
              <w:t>1,8</w:t>
            </w:r>
          </w:p>
        </w:tc>
      </w:tr>
      <w:tr w:rsidR="0047353B" w:rsidRPr="00214CA7" w:rsidTr="00601680">
        <w:trPr>
          <w:trHeight w:val="45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B84FBC" w:rsidP="00601680">
            <w:pPr>
              <w:jc w:val="center"/>
            </w:pPr>
            <w:r>
              <w:t>6</w:t>
            </w:r>
            <w:r w:rsidR="0047353B" w:rsidRPr="0047353B">
              <w:t>)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 xml:space="preserve">Случаи </w:t>
            </w:r>
            <w:proofErr w:type="spellStart"/>
            <w:r w:rsidRPr="0047353B">
              <w:rPr>
                <w:bCs/>
              </w:rPr>
              <w:t>сверхдлительного</w:t>
            </w:r>
            <w:proofErr w:type="spellEnd"/>
            <w:r w:rsidRPr="0047353B">
              <w:rPr>
                <w:bCs/>
              </w:rPr>
              <w:t xml:space="preserve"> пребывания (нормативная длительность 45 дней)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≥ 80 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  <w:r w:rsidRPr="00214CA7">
              <w:t>1,2</w:t>
            </w:r>
          </w:p>
        </w:tc>
      </w:tr>
      <w:tr w:rsidR="0047353B" w:rsidRPr="00214CA7" w:rsidTr="00601680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≥ 110 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  <w:r>
              <w:t xml:space="preserve"> </w:t>
            </w:r>
            <w:r w:rsidRPr="00214CA7">
              <w:t>1,4</w:t>
            </w:r>
          </w:p>
        </w:tc>
      </w:tr>
      <w:tr w:rsidR="0047353B" w:rsidRPr="00214CA7" w:rsidTr="00B84FBC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≥ 150 дней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  <w:r w:rsidRPr="00214CA7">
              <w:t>1,6</w:t>
            </w:r>
          </w:p>
        </w:tc>
      </w:tr>
      <w:tr w:rsidR="0047353B" w:rsidRPr="00214CA7" w:rsidTr="00B84FBC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jc w:val="center"/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>
            <w:pPr>
              <w:rPr>
                <w:bCs/>
              </w:rPr>
            </w:pPr>
            <w:r w:rsidRPr="0047353B">
              <w:rPr>
                <w:bCs/>
              </w:rPr>
              <w:t>≥ 180 дней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47353B" w:rsidRDefault="0047353B" w:rsidP="00601680"/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B" w:rsidRPr="00214CA7" w:rsidRDefault="0047353B" w:rsidP="00601680">
            <w:pPr>
              <w:jc w:val="center"/>
            </w:pPr>
            <w:r w:rsidRPr="00214CA7">
              <w:t>1,8</w:t>
            </w:r>
          </w:p>
        </w:tc>
      </w:tr>
      <w:tr w:rsidR="009A2A82" w:rsidRPr="00214CA7" w:rsidTr="00B84FBC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82" w:rsidRPr="00C610BC" w:rsidRDefault="004B2D80" w:rsidP="00601680">
            <w:pPr>
              <w:jc w:val="center"/>
            </w:pPr>
            <w:r w:rsidRPr="00C610BC">
              <w:t>7</w:t>
            </w:r>
            <w:r w:rsidR="009A2A82" w:rsidRPr="00C610BC">
              <w:t>)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A82" w:rsidRPr="00C610BC" w:rsidRDefault="009A2A82" w:rsidP="00601680">
            <w:pPr>
              <w:tabs>
                <w:tab w:val="left" w:pos="0"/>
                <w:tab w:val="left" w:pos="56"/>
              </w:tabs>
            </w:pPr>
            <w:r w:rsidRPr="00C610BC">
              <w:t xml:space="preserve">Проведение однотипных операций на парных органах 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82" w:rsidRPr="00C610BC" w:rsidRDefault="009A2A82" w:rsidP="00601680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82" w:rsidRPr="00C610BC" w:rsidRDefault="009A2A82" w:rsidP="00601680">
            <w:pPr>
              <w:jc w:val="center"/>
            </w:pPr>
            <w:r w:rsidRPr="00C610BC">
              <w:t>1,25</w:t>
            </w:r>
          </w:p>
        </w:tc>
      </w:tr>
    </w:tbl>
    <w:p w:rsidR="0047353B" w:rsidRDefault="0047353B" w:rsidP="0047353B">
      <w:pPr>
        <w:ind w:firstLine="851"/>
        <w:jc w:val="both"/>
        <w:rPr>
          <w:b/>
        </w:rPr>
      </w:pPr>
    </w:p>
    <w:p w:rsidR="00C043C2" w:rsidRPr="009A2A82" w:rsidRDefault="00C043C2" w:rsidP="0047353B">
      <w:pPr>
        <w:jc w:val="right"/>
        <w:rPr>
          <w:sz w:val="22"/>
          <w:szCs w:val="22"/>
        </w:rPr>
      </w:pPr>
    </w:p>
    <w:sectPr w:rsidR="00C043C2" w:rsidRPr="009A2A82" w:rsidSect="00214CA7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9AB"/>
    <w:multiLevelType w:val="hybridMultilevel"/>
    <w:tmpl w:val="4CBE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1208"/>
    <w:multiLevelType w:val="hybridMultilevel"/>
    <w:tmpl w:val="AC5613AC"/>
    <w:lvl w:ilvl="0" w:tplc="8B7ED9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320B7D"/>
    <w:multiLevelType w:val="hybridMultilevel"/>
    <w:tmpl w:val="AC5613AC"/>
    <w:lvl w:ilvl="0" w:tplc="8B7ED9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B32827"/>
    <w:multiLevelType w:val="hybridMultilevel"/>
    <w:tmpl w:val="97A28794"/>
    <w:lvl w:ilvl="0" w:tplc="5436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862BC"/>
    <w:multiLevelType w:val="hybridMultilevel"/>
    <w:tmpl w:val="EF8ED94C"/>
    <w:lvl w:ilvl="0" w:tplc="47DE9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EF11C4"/>
    <w:multiLevelType w:val="hybridMultilevel"/>
    <w:tmpl w:val="C504C332"/>
    <w:lvl w:ilvl="0" w:tplc="F5C2D3B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95478A"/>
    <w:multiLevelType w:val="hybridMultilevel"/>
    <w:tmpl w:val="5C50FD9A"/>
    <w:lvl w:ilvl="0" w:tplc="705E5DE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671E72"/>
    <w:multiLevelType w:val="hybridMultilevel"/>
    <w:tmpl w:val="F6CEDF8E"/>
    <w:lvl w:ilvl="0" w:tplc="C3CC00C6">
      <w:start w:val="6"/>
      <w:numFmt w:val="decimal"/>
      <w:lvlText w:val="%1."/>
      <w:lvlJc w:val="left"/>
      <w:pPr>
        <w:ind w:left="1961" w:hanging="111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7"/>
    <w:rsid w:val="00024F52"/>
    <w:rsid w:val="00060714"/>
    <w:rsid w:val="00066534"/>
    <w:rsid w:val="00070BDB"/>
    <w:rsid w:val="00085C83"/>
    <w:rsid w:val="000B0320"/>
    <w:rsid w:val="00111302"/>
    <w:rsid w:val="00116A54"/>
    <w:rsid w:val="00124191"/>
    <w:rsid w:val="001547F2"/>
    <w:rsid w:val="00174262"/>
    <w:rsid w:val="00177940"/>
    <w:rsid w:val="001A19FE"/>
    <w:rsid w:val="001F3469"/>
    <w:rsid w:val="00214CA7"/>
    <w:rsid w:val="002863E0"/>
    <w:rsid w:val="003375AB"/>
    <w:rsid w:val="00357743"/>
    <w:rsid w:val="003755C5"/>
    <w:rsid w:val="00395FA2"/>
    <w:rsid w:val="003D5B8C"/>
    <w:rsid w:val="003E64DD"/>
    <w:rsid w:val="003E67F3"/>
    <w:rsid w:val="00443DA8"/>
    <w:rsid w:val="00445269"/>
    <w:rsid w:val="00452CEA"/>
    <w:rsid w:val="00470EE9"/>
    <w:rsid w:val="0047353B"/>
    <w:rsid w:val="004B2D80"/>
    <w:rsid w:val="004D448D"/>
    <w:rsid w:val="004E01D4"/>
    <w:rsid w:val="004F7622"/>
    <w:rsid w:val="0051169C"/>
    <w:rsid w:val="005139A2"/>
    <w:rsid w:val="00544A98"/>
    <w:rsid w:val="00577614"/>
    <w:rsid w:val="00595EF7"/>
    <w:rsid w:val="005C400C"/>
    <w:rsid w:val="00601680"/>
    <w:rsid w:val="006036B1"/>
    <w:rsid w:val="006362D8"/>
    <w:rsid w:val="00675E86"/>
    <w:rsid w:val="006C6AEB"/>
    <w:rsid w:val="006D3FA0"/>
    <w:rsid w:val="006F1AA8"/>
    <w:rsid w:val="0070447D"/>
    <w:rsid w:val="007267F4"/>
    <w:rsid w:val="00741208"/>
    <w:rsid w:val="007D6B92"/>
    <w:rsid w:val="00821C0F"/>
    <w:rsid w:val="008257F4"/>
    <w:rsid w:val="00825808"/>
    <w:rsid w:val="00840773"/>
    <w:rsid w:val="00845129"/>
    <w:rsid w:val="008A1BF3"/>
    <w:rsid w:val="008D4976"/>
    <w:rsid w:val="008F2590"/>
    <w:rsid w:val="008F3D87"/>
    <w:rsid w:val="008F4CD5"/>
    <w:rsid w:val="00907BB3"/>
    <w:rsid w:val="00950678"/>
    <w:rsid w:val="00966915"/>
    <w:rsid w:val="009978FD"/>
    <w:rsid w:val="009A2A82"/>
    <w:rsid w:val="00AC7DB1"/>
    <w:rsid w:val="00AF2F95"/>
    <w:rsid w:val="00B027E1"/>
    <w:rsid w:val="00B42821"/>
    <w:rsid w:val="00B84FBC"/>
    <w:rsid w:val="00BD598A"/>
    <w:rsid w:val="00BE287C"/>
    <w:rsid w:val="00BF5734"/>
    <w:rsid w:val="00BF77EF"/>
    <w:rsid w:val="00C00D7B"/>
    <w:rsid w:val="00C03FA0"/>
    <w:rsid w:val="00C043C2"/>
    <w:rsid w:val="00C610BC"/>
    <w:rsid w:val="00C640DE"/>
    <w:rsid w:val="00C83475"/>
    <w:rsid w:val="00C83FBC"/>
    <w:rsid w:val="00CD6D21"/>
    <w:rsid w:val="00D31B55"/>
    <w:rsid w:val="00E21FB9"/>
    <w:rsid w:val="00E27CA0"/>
    <w:rsid w:val="00E63953"/>
    <w:rsid w:val="00E74008"/>
    <w:rsid w:val="00E74608"/>
    <w:rsid w:val="00EB68FB"/>
    <w:rsid w:val="00F0014A"/>
    <w:rsid w:val="00F35331"/>
    <w:rsid w:val="00F40991"/>
    <w:rsid w:val="00FA282A"/>
    <w:rsid w:val="00FC5710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EF7"/>
    <w:pPr>
      <w:keepNext/>
      <w:outlineLvl w:val="0"/>
    </w:pPr>
    <w:rPr>
      <w:rFonts w:ascii="Arial" w:hAnsi="Arial"/>
      <w:sz w:val="24"/>
    </w:rPr>
  </w:style>
  <w:style w:type="paragraph" w:styleId="2">
    <w:name w:val="heading 2"/>
    <w:next w:val="a0"/>
    <w:link w:val="20"/>
    <w:rsid w:val="00595EF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1"/>
      <w:jc w:val="center"/>
      <w:outlineLvl w:val="1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7">
    <w:name w:val="heading 7"/>
    <w:next w:val="a0"/>
    <w:link w:val="70"/>
    <w:rsid w:val="00595EF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9639"/>
      </w:tabs>
      <w:spacing w:before="222" w:after="222" w:line="240" w:lineRule="auto"/>
      <w:ind w:left="550" w:firstLine="301"/>
      <w:jc w:val="both"/>
      <w:outlineLvl w:val="6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5EF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95EF7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basedOn w:val="a1"/>
    <w:link w:val="7"/>
    <w:rsid w:val="00595EF7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a0">
    <w:name w:val="Текстовый блок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4">
    <w:name w:val="Hyperlink"/>
    <w:uiPriority w:val="99"/>
    <w:rsid w:val="00595EF7"/>
    <w:rPr>
      <w:u w:val="single"/>
    </w:rPr>
  </w:style>
  <w:style w:type="table" w:customStyle="1" w:styleId="TableNormal">
    <w:name w:val="Table Normal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95EF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11">
    <w:name w:val="Обычный1"/>
    <w:rsid w:val="00595E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00" w:lineRule="auto"/>
      <w:ind w:firstLine="20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6">
    <w:name w:val="Текстовый блок A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E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character" w:customStyle="1" w:styleId="a8">
    <w:name w:val="Текст выноски Знак"/>
    <w:basedOn w:val="a1"/>
    <w:link w:val="a7"/>
    <w:uiPriority w:val="99"/>
    <w:semiHidden/>
    <w:rsid w:val="00595EF7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a9">
    <w:name w:val="List Paragraph"/>
    <w:basedOn w:val="a"/>
    <w:link w:val="aa"/>
    <w:uiPriority w:val="34"/>
    <w:qFormat/>
    <w:rsid w:val="00595EF7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595EF7"/>
    <w:rPr>
      <w:rFonts w:ascii="Calibri" w:eastAsia="Calibri" w:hAnsi="Calibri" w:cs="Times New Roman"/>
    </w:rPr>
  </w:style>
  <w:style w:type="paragraph" w:customStyle="1" w:styleId="xl63">
    <w:name w:val="xl63"/>
    <w:basedOn w:val="a"/>
    <w:rsid w:val="00595EF7"/>
    <w:pPr>
      <w:spacing w:before="100" w:beforeAutospacing="1" w:after="100" w:afterAutospacing="1"/>
      <w:ind w:firstLine="709"/>
      <w:textAlignment w:val="bottom"/>
    </w:pPr>
    <w:rPr>
      <w:rFonts w:ascii="Trebuchet MS" w:hAnsi="Trebuchet MS"/>
      <w:sz w:val="22"/>
      <w:szCs w:val="22"/>
    </w:rPr>
  </w:style>
  <w:style w:type="paragraph" w:customStyle="1" w:styleId="xl64">
    <w:name w:val="xl64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65">
    <w:name w:val="xl65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66">
    <w:name w:val="xl66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4">
    <w:name w:val="xl74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5">
    <w:name w:val="xl75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6">
    <w:name w:val="xl76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77">
    <w:name w:val="xl77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81">
    <w:name w:val="xl81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82">
    <w:name w:val="xl82"/>
    <w:basedOn w:val="a"/>
    <w:rsid w:val="00595EF7"/>
    <w:pPr>
      <w:pBdr>
        <w:top w:val="single" w:sz="4" w:space="0" w:color="515151"/>
        <w:left w:val="single" w:sz="4" w:space="0" w:color="000000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styleId="3">
    <w:name w:val="Body Text 3"/>
    <w:basedOn w:val="a"/>
    <w:link w:val="30"/>
    <w:rsid w:val="00595EF7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1"/>
    <w:link w:val="3"/>
    <w:rsid w:val="00595EF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annotation reference"/>
    <w:basedOn w:val="a1"/>
    <w:uiPriority w:val="99"/>
    <w:semiHidden/>
    <w:unhideWhenUsed/>
    <w:rsid w:val="00595E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5EF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595EF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8258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EF7"/>
    <w:pPr>
      <w:keepNext/>
      <w:outlineLvl w:val="0"/>
    </w:pPr>
    <w:rPr>
      <w:rFonts w:ascii="Arial" w:hAnsi="Arial"/>
      <w:sz w:val="24"/>
    </w:rPr>
  </w:style>
  <w:style w:type="paragraph" w:styleId="2">
    <w:name w:val="heading 2"/>
    <w:next w:val="a0"/>
    <w:link w:val="20"/>
    <w:rsid w:val="00595EF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1"/>
      <w:jc w:val="center"/>
      <w:outlineLvl w:val="1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7">
    <w:name w:val="heading 7"/>
    <w:next w:val="a0"/>
    <w:link w:val="70"/>
    <w:rsid w:val="00595EF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9639"/>
      </w:tabs>
      <w:spacing w:before="222" w:after="222" w:line="240" w:lineRule="auto"/>
      <w:ind w:left="550" w:firstLine="301"/>
      <w:jc w:val="both"/>
      <w:outlineLvl w:val="6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5EF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95EF7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basedOn w:val="a1"/>
    <w:link w:val="7"/>
    <w:rsid w:val="00595EF7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a0">
    <w:name w:val="Текстовый блок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4">
    <w:name w:val="Hyperlink"/>
    <w:uiPriority w:val="99"/>
    <w:rsid w:val="00595EF7"/>
    <w:rPr>
      <w:u w:val="single"/>
    </w:rPr>
  </w:style>
  <w:style w:type="table" w:customStyle="1" w:styleId="TableNormal">
    <w:name w:val="Table Normal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95EF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11">
    <w:name w:val="Обычный1"/>
    <w:rsid w:val="00595E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00" w:lineRule="auto"/>
      <w:ind w:firstLine="20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6">
    <w:name w:val="Текстовый блок A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E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character" w:customStyle="1" w:styleId="a8">
    <w:name w:val="Текст выноски Знак"/>
    <w:basedOn w:val="a1"/>
    <w:link w:val="a7"/>
    <w:uiPriority w:val="99"/>
    <w:semiHidden/>
    <w:rsid w:val="00595EF7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a9">
    <w:name w:val="List Paragraph"/>
    <w:basedOn w:val="a"/>
    <w:link w:val="aa"/>
    <w:uiPriority w:val="34"/>
    <w:qFormat/>
    <w:rsid w:val="00595EF7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595EF7"/>
    <w:rPr>
      <w:rFonts w:ascii="Calibri" w:eastAsia="Calibri" w:hAnsi="Calibri" w:cs="Times New Roman"/>
    </w:rPr>
  </w:style>
  <w:style w:type="paragraph" w:customStyle="1" w:styleId="xl63">
    <w:name w:val="xl63"/>
    <w:basedOn w:val="a"/>
    <w:rsid w:val="00595EF7"/>
    <w:pPr>
      <w:spacing w:before="100" w:beforeAutospacing="1" w:after="100" w:afterAutospacing="1"/>
      <w:ind w:firstLine="709"/>
      <w:textAlignment w:val="bottom"/>
    </w:pPr>
    <w:rPr>
      <w:rFonts w:ascii="Trebuchet MS" w:hAnsi="Trebuchet MS"/>
      <w:sz w:val="22"/>
      <w:szCs w:val="22"/>
    </w:rPr>
  </w:style>
  <w:style w:type="paragraph" w:customStyle="1" w:styleId="xl64">
    <w:name w:val="xl64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65">
    <w:name w:val="xl65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66">
    <w:name w:val="xl66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4">
    <w:name w:val="xl74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5">
    <w:name w:val="xl75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6">
    <w:name w:val="xl76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77">
    <w:name w:val="xl77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81">
    <w:name w:val="xl81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82">
    <w:name w:val="xl82"/>
    <w:basedOn w:val="a"/>
    <w:rsid w:val="00595EF7"/>
    <w:pPr>
      <w:pBdr>
        <w:top w:val="single" w:sz="4" w:space="0" w:color="515151"/>
        <w:left w:val="single" w:sz="4" w:space="0" w:color="000000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styleId="3">
    <w:name w:val="Body Text 3"/>
    <w:basedOn w:val="a"/>
    <w:link w:val="30"/>
    <w:rsid w:val="00595EF7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1"/>
    <w:link w:val="3"/>
    <w:rsid w:val="00595EF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annotation reference"/>
    <w:basedOn w:val="a1"/>
    <w:uiPriority w:val="99"/>
    <w:semiHidden/>
    <w:unhideWhenUsed/>
    <w:rsid w:val="00595E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5EF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595EF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8258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1FD2FBBC180494F03EACCBCE12AE3DB53AC0A48CF193C2F23FBF0CFC504A38000E5E28E74F697z1n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BE6A5CBB53EDC773A0D2AC84FAC3FEB278BD8F499BA18BFBF19BD5A03D814F271BEE6A5E662393U2m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31201B23750BC4EE05763C9278C1CFDA7DA025ED5817129193BDD2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EE32-8364-4833-BEAB-4F1E7E73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Кулинич Ольга Анатольевна</dc:creator>
  <cp:lastModifiedBy>Дик Татьяна Анатольевна</cp:lastModifiedBy>
  <cp:revision>3</cp:revision>
  <cp:lastPrinted>2016-02-03T10:22:00Z</cp:lastPrinted>
  <dcterms:created xsi:type="dcterms:W3CDTF">2016-02-08T09:55:00Z</dcterms:created>
  <dcterms:modified xsi:type="dcterms:W3CDTF">2016-02-08T09:56:00Z</dcterms:modified>
</cp:coreProperties>
</file>